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5.0.0 -->
  <w:body>
    <w:p w:rsidR="00BB7B33" w:rsidRPr="00BB7B33" w:rsidP="00A56AED">
      <w:pPr>
        <w:pStyle w:val="Covertitle"/>
      </w:pPr>
      <w:r w:rsidRPr="00BB7B33">
        <w:rPr>
          <w:noProof/>
        </w:rPr>
        <w:t>2025</w:t>
      </w:r>
      <w:r w:rsidRPr="00BB7B33">
        <w:t xml:space="preserve"> Annual Report to the School Community</w:t>
      </w:r>
    </w:p>
    <w:tbl>
      <w:tblPr>
        <w:tblStyle w:val="TableGrid1"/>
        <w:tblpPr w:leftFromText="180" w:rightFromText="180" w:vertAnchor="text" w:horzAnchor="margin" w:tblpY="10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78"/>
        <w:gridCol w:w="6229"/>
      </w:tblGrid>
      <w:tr w:rsidTr="00E55ECD">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8976"/>
        </w:trPr>
        <w:tc>
          <w:tcPr>
            <w:tcW w:w="3178" w:type="dxa"/>
          </w:tcPr>
          <w:p w:rsidR="00BB7B33" w:rsidRPr="00BB7B33" w:rsidP="00BB7B33">
            <w:pPr>
              <w:spacing w:before="0"/>
              <w:ind w:left="-509" w:right="419"/>
              <w:jc w:val="center"/>
              <w:rPr>
                <w:rFonts w:ascii="Arial" w:hAnsi="Arial" w:cs="Arial"/>
                <w:color w:val="595959"/>
                <w:sz w:val="18"/>
                <w:szCs w:val="18"/>
              </w:rPr>
            </w:pPr>
            <w:r w:rsidRPr="00BB7B33">
              <w:rPr>
                <w:rFonts w:ascii="Arial" w:hAnsi="Arial" w:cs="Arial"/>
                <w:noProof/>
                <w:color w:val="595959"/>
                <w:sz w:val="18"/>
                <w:szCs w:val="18"/>
              </w:rPr>
              <w:drawing>
                <wp:anchor simplePos="0" relativeHeight="251658240" behindDoc="1" locked="0" layoutInCell="1" allowOverlap="1">
                  <wp:simplePos x="0" y="0"/>
                  <wp:positionH relativeFrom="page">
                    <wp:align>center</wp:align>
                  </wp:positionH>
                  <wp:positionV relativeFrom="paragraph">
                    <wp:posOffset>0</wp:posOffset>
                  </wp:positionV>
                  <wp:extent cx="1428949" cy="1409897"/>
                  <wp:wrapNone/>
                  <wp:docPr id="100014" name=""/>
                  <wp:cNvGraphicFramePr/>
                  <a:graphic xmlns:a="http://schemas.openxmlformats.org/drawingml/2006/main">
                    <a:graphicData uri="http://schemas.openxmlformats.org/drawingml/2006/picture">
                      <pic:pic xmlns:pic="http://schemas.openxmlformats.org/drawingml/2006/picture">
                        <pic:nvPicPr>
                          <pic:cNvPr id="100014" name=""/>
                          <pic:cNvPicPr/>
                        </pic:nvPicPr>
                        <pic:blipFill>
                          <a:blip xmlns:r="http://schemas.openxmlformats.org/officeDocument/2006/relationships" r:embed="rId8"/>
                          <a:stretch>
                            <a:fillRect/>
                          </a:stretch>
                        </pic:blipFill>
                        <pic:spPr>
                          <a:xfrm>
                            <a:off x="0" y="0"/>
                            <a:ext cx="1428949" cy="1409897"/>
                          </a:xfrm>
                          <a:prstGeom prst="rect">
                            <a:avLst/>
                          </a:prstGeom>
                        </pic:spPr>
                      </pic:pic>
                    </a:graphicData>
                  </a:graphic>
                </wp:anchor>
              </w:drawing>
            </w:r>
          </w:p>
        </w:tc>
        <w:tc>
          <w:tcPr>
            <w:tcW w:w="6229" w:type="dxa"/>
          </w:tcPr>
          <w:p w:rsidR="00BB7B33" w:rsidRPr="00BB7B33" w:rsidP="00BB7B33">
            <w:pPr>
              <w:spacing w:before="0"/>
              <w:ind w:right="419"/>
              <w:rPr>
                <w:rFonts w:ascii="Arial" w:hAnsi="Arial" w:cs="Arial"/>
                <w:color w:val="595959"/>
                <w:sz w:val="18"/>
                <w:szCs w:val="18"/>
              </w:rPr>
            </w:pPr>
            <w:r w:rsidRPr="00BB7B33">
              <w:rPr>
                <w:rFonts w:ascii="Arial" w:hAnsi="Arial" w:cs="Arial"/>
                <w:noProof/>
                <w:sz w:val="18"/>
                <w:szCs w:val="18"/>
                <w:lang w:eastAsia="en-AU"/>
              </w:rPr>
              <mc:AlternateContent>
                <mc:Choice Requires="wps">
                  <w:drawing>
                    <wp:anchor distT="0" distB="0" distL="114300" distR="114300" simplePos="0" relativeHeight="251660288" behindDoc="0" locked="0" layoutInCell="1" allowOverlap="1">
                      <wp:simplePos x="0" y="0"/>
                      <wp:positionH relativeFrom="margin">
                        <wp:posOffset>-2094230</wp:posOffset>
                      </wp:positionH>
                      <wp:positionV relativeFrom="paragraph">
                        <wp:posOffset>2288540</wp:posOffset>
                      </wp:positionV>
                      <wp:extent cx="6915150" cy="3857625"/>
                      <wp:effectExtent l="0" t="0" r="0" b="9525"/>
                      <wp:wrapNone/>
                      <wp:docPr id="1"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15150" cy="3857625"/>
                              </a:xfrm>
                              <a:prstGeom prst="rect">
                                <a:avLst/>
                              </a:prstGeom>
                              <a:noFill/>
                              <a:ln>
                                <a:noFill/>
                              </a:ln>
                              <a:extLst>
                                <a:ext xmlns:a="http://schemas.openxmlformats.org/drawingml/2006/main" uri="{909E8E84-426E-40DD-AFC4-6F175D3DCCD1}">
                                  <a14:hiddenFill xmlns:a14="http://schemas.microsoft.com/office/drawing/2010/main">
                                    <a:solidFill>
                                      <a:schemeClr val="lt1">
                                        <a:lumMod val="100000"/>
                                        <a:lumOff val="0"/>
                                      </a:schemeClr>
                                    </a:solidFill>
                                  </a14:hiddenFill>
                                </a:ext>
                                <a:ext xmlns:a="http://schemas.openxmlformats.org/drawingml/2006/main" uri="{91240B29-F687-4F45-9708-019B960494DF}">
                                  <a14:hiddenLine xmlns:a14="http://schemas.microsoft.com/office/drawing/2010/main" w="6350">
                                    <a:solidFill>
                                      <a:srgbClr val="000000"/>
                                    </a:solidFill>
                                    <a:miter lim="800000"/>
                                    <a:headEnd/>
                                    <a:tailEnd/>
                                  </a14:hiddenLine>
                                </a:ext>
                              </a:extLst>
                            </wps:spPr>
                            <wps:txbx>
                              <w:txbxContent>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
                                  <w:tblGrid>
                                    <w:gridCol w:w="10632"/>
                                  </w:tblGrid>
                                  <w:tr w:rsidTr="0051066D">
                                    <w:tblPrEx>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Ex>
                                    <w:trPr>
                                      <w:trHeight w:val="1837"/>
                                    </w:trPr>
                                    <w:tc>
                                      <w:tcPr>
                                        <w:tcW w:w="10632" w:type="dxa"/>
                                        <w:vAlign w:val="center"/>
                                      </w:tcPr>
                                      <w:p w:rsidR="00BB7B33" w:rsidRPr="003E0246" w:rsidP="00BB7B33">
                                        <w:pPr>
                                          <w:numPr>
                                            <w:ilvl w:val="0"/>
                                            <w:numId w:val="21"/>
                                          </w:numPr>
                                          <w:spacing w:before="0" w:after="0" w:line="240" w:lineRule="auto"/>
                                          <w:ind w:left="301"/>
                                        </w:pPr>
                                        <w:r w:rsidRPr="00376AC0">
                                          <w:t xml:space="preserve">all teachers at the school meet the registration requirements of the </w:t>
                                        </w:r>
                                        <w:r>
                                          <w:fldChar w:fldCharType="begin"/>
                                        </w:r>
                                        <w:r>
                                          <w:instrText xml:space="preserve"> HYPERLINK "http://www.vit.vic.edu.au/" </w:instrText>
                                        </w:r>
                                        <w:r>
                                          <w:fldChar w:fldCharType="separate"/>
                                        </w:r>
                                        <w:r w:rsidRPr="00376AC0">
                                          <w:rPr>
                                            <w:rStyle w:val="Hyperlink"/>
                                          </w:rPr>
                                          <w:t>Victorian Institute of Teaching (VIT)</w:t>
                                        </w:r>
                                        <w:r>
                                          <w:fldChar w:fldCharType="end"/>
                                        </w:r>
                                      </w:p>
                                      <w:p w:rsidR="00BB7B33" w:rsidP="00BB7B33">
                                        <w:pPr>
                                          <w:numPr>
                                            <w:ilvl w:val="0"/>
                                            <w:numId w:val="21"/>
                                          </w:numPr>
                                          <w:spacing w:before="0" w:after="0" w:line="240" w:lineRule="auto"/>
                                          <w:ind w:left="301"/>
                                        </w:pPr>
                                        <w:r w:rsidRPr="00376AC0">
                                          <w:t>the school meets prescribed Minimum Standards for registration as regulated by the Victorian Regulation and Qualifications Authority (VRQA) in accordance with the</w:t>
                                        </w:r>
                                        <w:r>
                                          <w:t xml:space="preserve"> </w:t>
                                        </w:r>
                                        <w:r>
                                          <w:fldChar w:fldCharType="begin"/>
                                        </w:r>
                                        <w:r>
                                          <w:instrText xml:space="preserve"> HYPERLINK "https://www.legislation.vic.gov.au/in-force/acts/education-and-training-reform-act-2006" </w:instrText>
                                        </w:r>
                                        <w:r>
                                          <w:fldChar w:fldCharType="separate"/>
                                        </w:r>
                                        <w:r w:rsidRPr="00376AC0">
                                          <w:rPr>
                                            <w:rStyle w:val="Hyperlink"/>
                                          </w:rPr>
                                          <w:t>Education and Training Reform Act 2006 (Vic)</w:t>
                                        </w:r>
                                        <w:r>
                                          <w:fldChar w:fldCharType="end"/>
                                        </w:r>
                                        <w:r w:rsidRPr="00376AC0">
                                          <w:t xml:space="preserve"> (this includes any exemption granted to this school by the VRQA, for the most recent calendar year, in relation to minimum student enrolment numbers and/or the curriculum framework requirement to deliver a languages program)</w:t>
                                        </w:r>
                                      </w:p>
                                      <w:p w:rsidR="00BB7B33" w:rsidP="00BB7B33">
                                        <w:pPr>
                                          <w:numPr>
                                            <w:ilvl w:val="0"/>
                                            <w:numId w:val="21"/>
                                          </w:numPr>
                                          <w:spacing w:before="0" w:after="0" w:line="240" w:lineRule="auto"/>
                                          <w:ind w:left="301"/>
                                          <w:rPr>
                                            <w:color w:val="333333"/>
                                            <w:sz w:val="16"/>
                                            <w:szCs w:val="16"/>
                                          </w:rPr>
                                        </w:pPr>
                                        <w:r w:rsidRPr="00376AC0">
                                          <w:t xml:space="preserve">the school meets the requirements of the Child Safe Standards as prescribed in </w:t>
                                        </w:r>
                                        <w:r>
                                          <w:fldChar w:fldCharType="begin"/>
                                        </w:r>
                                        <w:r>
                                          <w:instrText xml:space="preserve"> HYPERLINK "https://www.education.vic.gov.au/Documents/about/programs/health/protect/Ministerial_Order.pdf" </w:instrText>
                                        </w:r>
                                        <w:r>
                                          <w:fldChar w:fldCharType="separate"/>
                                        </w:r>
                                        <w:r w:rsidRPr="00376AC0">
                                          <w:rPr>
                                            <w:rStyle w:val="Hyperlink"/>
                                          </w:rPr>
                                          <w:t>Ministerial Order 1359 – Implementing the Child Safe Standards – Managing the risk of child abuse in schools (PDF)</w:t>
                                        </w:r>
                                        <w:r>
                                          <w:fldChar w:fldCharType="end"/>
                                        </w:r>
                                        <w:r w:rsidRPr="00376AC0">
                                          <w:t>.</w:t>
                                        </w:r>
                                      </w:p>
                                    </w:tc>
                                  </w:tr>
                                  <w:tr w:rsidTr="0051066D">
                                    <w:tblPrEx>
                                      <w:tblW w:w="10632" w:type="dxa"/>
                                      <w:tblInd w:w="-5" w:type="dxa"/>
                                      <w:tblCellMar>
                                        <w:top w:w="142" w:type="dxa"/>
                                        <w:left w:w="284" w:type="dxa"/>
                                        <w:bottom w:w="142" w:type="dxa"/>
                                        <w:right w:w="142" w:type="dxa"/>
                                      </w:tblCellMar>
                                      <w:tblLook w:val="04A0"/>
                                    </w:tblPrEx>
                                    <w:trPr>
                                      <w:trHeight w:val="20"/>
                                    </w:trPr>
                                    <w:tc>
                                      <w:tcPr>
                                        <w:tcW w:w="10632" w:type="dxa"/>
                                      </w:tcPr>
                                      <w:p w:rsidR="00BB7B33" w:rsidRPr="00642089" w:rsidP="000D139C">
                                        <w:pPr>
                                          <w:spacing w:before="240" w:after="0" w:line="240" w:lineRule="auto"/>
                                        </w:pPr>
                                        <w:r w:rsidRPr="00642089">
                                          <w:t>Attested on 28 April 2026 at 04:30 PM by Ben McCredden (Principal)</w:t>
                                        </w:r>
                                      </w:p>
                                    </w:tc>
                                  </w:tr>
                                </w:tbl>
                                <w:p w:rsidR="00BB7B33" w:rsidP="00BB7B33">
                                  <w:pPr>
                                    <w:spacing w:before="240" w:after="400" w:line="240" w:lineRule="auto"/>
                                  </w:pPr>
                                </w:p>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
                                  <w:tblGrid>
                                    <w:gridCol w:w="10632"/>
                                  </w:tblGrid>
                                  <w:tr w:rsidTr="000D139C">
                                    <w:tblPrEx>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Ex>
                                    <w:trPr>
                                      <w:trHeight w:val="522"/>
                                    </w:trPr>
                                    <w:tc>
                                      <w:tcPr>
                                        <w:tcW w:w="10632" w:type="dxa"/>
                                        <w:vAlign w:val="center"/>
                                      </w:tcPr>
                                      <w:p w:rsidR="00BB7B33" w:rsidP="00BB7B33">
                                        <w:pPr>
                                          <w:numPr>
                                            <w:ilvl w:val="0"/>
                                            <w:numId w:val="22"/>
                                          </w:numPr>
                                          <w:spacing w:before="0" w:after="0" w:line="240" w:lineRule="auto"/>
                                          <w:ind w:left="301"/>
                                          <w:rPr>
                                            <w:color w:val="333333"/>
                                            <w:sz w:val="16"/>
                                            <w:szCs w:val="16"/>
                                          </w:rPr>
                                        </w:pPr>
                                        <w:bookmarkStart w:id="0" w:name="OLE_LINK1"/>
                                        <w:r>
                                          <w:rPr>
                                            <w:noProof/>
                                            <w:szCs w:val="10"/>
                                          </w:rPr>
                                          <w:t>As executive officer of the school council, I attest that this 2025 Annual Report to the School Community has been tabled and endorsed at a meeting of the school council and will be publicly shared with the school community.</w:t>
                                        </w:r>
                                        <w:bookmarkEnd w:id="0"/>
                                      </w:p>
                                    </w:tc>
                                  </w:tr>
                                  <w:tr w:rsidTr="000D139C">
                                    <w:tblPrEx>
                                      <w:tblW w:w="10632" w:type="dxa"/>
                                      <w:tblInd w:w="-5" w:type="dxa"/>
                                      <w:tblCellMar>
                                        <w:top w:w="142" w:type="dxa"/>
                                        <w:left w:w="284" w:type="dxa"/>
                                        <w:bottom w:w="142" w:type="dxa"/>
                                        <w:right w:w="142" w:type="dxa"/>
                                      </w:tblCellMar>
                                      <w:tblLook w:val="04A0"/>
                                    </w:tblPrEx>
                                    <w:trPr>
                                      <w:trHeight w:val="113"/>
                                    </w:trPr>
                                    <w:tc>
                                      <w:tcPr>
                                        <w:tcW w:w="10632" w:type="dxa"/>
                                      </w:tcPr>
                                      <w:p w:rsidR="00BB7B33" w:rsidRPr="00642089" w:rsidP="000D139C">
                                        <w:pPr>
                                          <w:spacing w:before="240" w:after="0" w:line="240" w:lineRule="auto"/>
                                        </w:pPr>
                                        <w:r w:rsidRPr="00642089">
                                          <w:t>Attested on 28 April 2026 at 04:30 PM by Ben McCredden (Principal)</w:t>
                                        </w:r>
                                      </w:p>
                                    </w:tc>
                                  </w:tr>
                                </w:tbl>
                                <w:p w:rsidR="00BB7B33" w:rsidP="00BB7B33"/>
                              </w:txbxContent>
                            </wps:txbx>
                            <wps:bodyPr rot="0" vert="horz"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1025" type="#_x0000_t202" style="height:303.75pt;margin-left:-164.9pt;margin-top:180.2pt;mso-height-percent:0;mso-height-relative:margin;mso-position-horizontal-relative:margin;mso-width-percent:0;mso-width-relative:margin;mso-wrap-distance-bottom:0;mso-wrap-distance-left:9pt;mso-wrap-distance-right:9pt;mso-wrap-distance-top:0;position:absolute;width:544.5pt;z-index:251659264" filled="f" fillcolor="this" stroked="f">
                      <v:textbox>
                        <w:txbxContent>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
                            <w:tblGrid>
                              <w:gridCol w:w="10632"/>
                            </w:tblGrid>
                            <w:tr w:rsidTr="0051066D">
                              <w:tblPrEx>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Ex>
                              <w:trPr>
                                <w:trHeight w:val="1837"/>
                              </w:trPr>
                              <w:tc>
                                <w:tcPr>
                                  <w:tcW w:w="10632" w:type="dxa"/>
                                  <w:vAlign w:val="center"/>
                                </w:tcPr>
                                <w:p w:rsidR="00BB7B33" w:rsidRPr="003E0246" w:rsidP="00BB7B33">
                                  <w:pPr>
                                    <w:numPr>
                                      <w:ilvl w:val="0"/>
                                      <w:numId w:val="21"/>
                                    </w:numPr>
                                    <w:spacing w:before="0" w:after="0" w:line="240" w:lineRule="auto"/>
                                    <w:ind w:left="301"/>
                                  </w:pPr>
                                  <w:r w:rsidRPr="00376AC0">
                                    <w:t xml:space="preserve">all teachers at the school meet the registration requirements of the </w:t>
                                  </w:r>
                                  <w:r>
                                    <w:fldChar w:fldCharType="begin"/>
                                  </w:r>
                                  <w:r>
                                    <w:instrText xml:space="preserve"> HYPERLINK "http://www.vit.vic.edu.au/" </w:instrText>
                                  </w:r>
                                  <w:r>
                                    <w:fldChar w:fldCharType="separate"/>
                                  </w:r>
                                  <w:r w:rsidRPr="00376AC0">
                                    <w:rPr>
                                      <w:rStyle w:val="Hyperlink"/>
                                    </w:rPr>
                                    <w:t>Victorian Institute of Teaching (VIT)</w:t>
                                  </w:r>
                                  <w:r>
                                    <w:fldChar w:fldCharType="end"/>
                                  </w:r>
                                </w:p>
                                <w:p w:rsidR="00BB7B33" w:rsidP="00BB7B33">
                                  <w:pPr>
                                    <w:numPr>
                                      <w:ilvl w:val="0"/>
                                      <w:numId w:val="21"/>
                                    </w:numPr>
                                    <w:spacing w:before="0" w:after="0" w:line="240" w:lineRule="auto"/>
                                    <w:ind w:left="301"/>
                                  </w:pPr>
                                  <w:r w:rsidRPr="00376AC0">
                                    <w:t>the school meets prescribed Minimum Standards for registration as regulated by the Victorian Regulation and Qualifications Authority (VRQA) in accordance with the</w:t>
                                  </w:r>
                                  <w:r>
                                    <w:t xml:space="preserve"> </w:t>
                                  </w:r>
                                  <w:r>
                                    <w:fldChar w:fldCharType="begin"/>
                                  </w:r>
                                  <w:r>
                                    <w:instrText xml:space="preserve"> HYPERLINK "https://www.legislation.vic.gov.au/in-force/acts/education-and-training-reform-act-2006" </w:instrText>
                                  </w:r>
                                  <w:r>
                                    <w:fldChar w:fldCharType="separate"/>
                                  </w:r>
                                  <w:r w:rsidRPr="00376AC0">
                                    <w:rPr>
                                      <w:rStyle w:val="Hyperlink"/>
                                    </w:rPr>
                                    <w:t>Education and Training Reform Act 2006 (Vic)</w:t>
                                  </w:r>
                                  <w:r>
                                    <w:fldChar w:fldCharType="end"/>
                                  </w:r>
                                  <w:r w:rsidRPr="00376AC0">
                                    <w:t xml:space="preserve"> (this includes any exemption granted to this school by the VRQA, for the most recent calendar year, in relation to minimum student enrolment numbers and/or the curriculum framework requirement to deliver a languages program)</w:t>
                                  </w:r>
                                </w:p>
                                <w:p w:rsidR="00BB7B33" w:rsidP="00BB7B33">
                                  <w:pPr>
                                    <w:numPr>
                                      <w:ilvl w:val="0"/>
                                      <w:numId w:val="21"/>
                                    </w:numPr>
                                    <w:spacing w:before="0" w:after="0" w:line="240" w:lineRule="auto"/>
                                    <w:ind w:left="301"/>
                                    <w:rPr>
                                      <w:color w:val="333333"/>
                                      <w:sz w:val="16"/>
                                      <w:szCs w:val="16"/>
                                    </w:rPr>
                                  </w:pPr>
                                  <w:r w:rsidRPr="00376AC0">
                                    <w:t xml:space="preserve">the school meets the requirements of the Child Safe Standards as prescribed in </w:t>
                                  </w:r>
                                  <w:r>
                                    <w:fldChar w:fldCharType="begin"/>
                                  </w:r>
                                  <w:r>
                                    <w:instrText xml:space="preserve"> HYPERLINK "https://www.education.vic.gov.au/Documents/about/programs/health/protect/Ministerial_Order.pdf" </w:instrText>
                                  </w:r>
                                  <w:r>
                                    <w:fldChar w:fldCharType="separate"/>
                                  </w:r>
                                  <w:r w:rsidRPr="00376AC0">
                                    <w:rPr>
                                      <w:rStyle w:val="Hyperlink"/>
                                    </w:rPr>
                                    <w:t>Ministerial Order 1359 – Implementing the Child Safe Standards – Managing the risk of child abuse in schools (PDF)</w:t>
                                  </w:r>
                                  <w:r>
                                    <w:fldChar w:fldCharType="end"/>
                                  </w:r>
                                  <w:r w:rsidRPr="00376AC0">
                                    <w:t>.</w:t>
                                  </w:r>
                                </w:p>
                              </w:tc>
                            </w:tr>
                            <w:tr w:rsidTr="0051066D">
                              <w:tblPrEx>
                                <w:tblW w:w="10632" w:type="dxa"/>
                                <w:tblInd w:w="-5" w:type="dxa"/>
                                <w:tblCellMar>
                                  <w:top w:w="142" w:type="dxa"/>
                                  <w:left w:w="284" w:type="dxa"/>
                                  <w:bottom w:w="142" w:type="dxa"/>
                                  <w:right w:w="142" w:type="dxa"/>
                                </w:tblCellMar>
                                <w:tblLook w:val="04A0"/>
                              </w:tblPrEx>
                              <w:trPr>
                                <w:trHeight w:val="20"/>
                              </w:trPr>
                              <w:tc>
                                <w:tcPr>
                                  <w:tcW w:w="10632" w:type="dxa"/>
                                </w:tcPr>
                                <w:p w:rsidR="00BB7B33" w:rsidRPr="00642089" w:rsidP="000D139C">
                                  <w:pPr>
                                    <w:spacing w:before="240" w:after="0" w:line="240" w:lineRule="auto"/>
                                  </w:pPr>
                                  <w:r w:rsidRPr="00642089">
                                    <w:t>Attested on 28 April 2026 at 04:30 PM by Ben McCredden (Principal)</w:t>
                                  </w:r>
                                </w:p>
                              </w:tc>
                            </w:tr>
                          </w:tbl>
                          <w:p w:rsidR="00BB7B33" w:rsidP="00BB7B33">
                            <w:pPr>
                              <w:spacing w:before="240" w:after="400" w:line="240" w:lineRule="auto"/>
                            </w:pPr>
                          </w:p>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
                            <w:tblGrid>
                              <w:gridCol w:w="10632"/>
                            </w:tblGrid>
                            <w:tr w:rsidTr="000D139C">
                              <w:tblPrEx>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Ex>
                              <w:trPr>
                                <w:trHeight w:val="522"/>
                              </w:trPr>
                              <w:tc>
                                <w:tcPr>
                                  <w:tcW w:w="10632" w:type="dxa"/>
                                  <w:vAlign w:val="center"/>
                                </w:tcPr>
                                <w:p w:rsidR="00BB7B33" w:rsidP="00BB7B33">
                                  <w:pPr>
                                    <w:numPr>
                                      <w:ilvl w:val="0"/>
                                      <w:numId w:val="22"/>
                                    </w:numPr>
                                    <w:spacing w:before="0" w:after="0" w:line="240" w:lineRule="auto"/>
                                    <w:ind w:left="301"/>
                                    <w:rPr>
                                      <w:color w:val="333333"/>
                                      <w:sz w:val="16"/>
                                      <w:szCs w:val="16"/>
                                    </w:rPr>
                                  </w:pPr>
                                  <w:bookmarkStart w:id="0" w:name="OLE_LINK1"/>
                                  <w:r>
                                    <w:rPr>
                                      <w:noProof/>
                                      <w:szCs w:val="10"/>
                                    </w:rPr>
                                    <w:t>As executive officer of the school council, I attest that this 2025 Annual Report to the School Community has been tabled and endorsed at a meeting of the school council and will be publicly shared with the school community.</w:t>
                                  </w:r>
                                  <w:bookmarkEnd w:id="0"/>
                                </w:p>
                              </w:tc>
                            </w:tr>
                            <w:tr w:rsidTr="000D139C">
                              <w:tblPrEx>
                                <w:tblW w:w="10632" w:type="dxa"/>
                                <w:tblInd w:w="-5" w:type="dxa"/>
                                <w:tblCellMar>
                                  <w:top w:w="142" w:type="dxa"/>
                                  <w:left w:w="284" w:type="dxa"/>
                                  <w:bottom w:w="142" w:type="dxa"/>
                                  <w:right w:w="142" w:type="dxa"/>
                                </w:tblCellMar>
                                <w:tblLook w:val="04A0"/>
                              </w:tblPrEx>
                              <w:trPr>
                                <w:trHeight w:val="113"/>
                              </w:trPr>
                              <w:tc>
                                <w:tcPr>
                                  <w:tcW w:w="10632" w:type="dxa"/>
                                </w:tcPr>
                                <w:p w:rsidR="00BB7B33" w:rsidRPr="00642089" w:rsidP="000D139C">
                                  <w:pPr>
                                    <w:spacing w:before="240" w:after="0" w:line="240" w:lineRule="auto"/>
                                  </w:pPr>
                                  <w:r w:rsidRPr="00642089">
                                    <w:t>Attested on 28 April 2026 at 04:30 PM by Ben McCredden (Principal)</w:t>
                                  </w:r>
                                </w:p>
                              </w:tc>
                            </w:tr>
                          </w:tbl>
                          <w:p w:rsidR="00BB7B33" w:rsidP="00BB7B33"/>
                        </w:txbxContent>
                      </v:textbox>
                      <w10:wrap anchorx="margin"/>
                    </v:shape>
                  </w:pict>
                </mc:Fallback>
              </mc:AlternateContent>
            </w:r>
          </w:p>
        </w:tc>
      </w:tr>
    </w:tbl>
    <w:p w:rsidR="00BB7B33" w:rsidRPr="00BB7B33" w:rsidP="00A56AED">
      <w:pPr>
        <w:pStyle w:val="Heading2"/>
        <w:rPr>
          <w:rFonts w:eastAsia="MS Mincho"/>
        </w:rPr>
      </w:pPr>
      <w:r w:rsidRPr="00BB7B33">
        <w:rPr>
          <w:rFonts w:eastAsia="MS Mincho"/>
          <w:noProof/>
        </w:rPr>
        <w:t xml:space="preserve">School Name: </w:t>
      </w:r>
      <w:r w:rsidRPr="00BB7B33">
        <w:rPr>
          <w:rFonts w:eastAsia="MS Mincho"/>
          <w:noProof/>
        </w:rPr>
        <w:t>Tate Street Primary School Geelong (4398)</w:t>
      </w:r>
    </w:p>
    <w:p w:rsidR="00BB7B33" w:rsidRPr="00BB7B33" w:rsidP="00BB7B33">
      <w:pPr>
        <w:spacing w:before="0"/>
        <w:ind w:right="419"/>
        <w:rPr>
          <w:rFonts w:ascii="Arial" w:eastAsia="MS Mincho" w:hAnsi="Arial" w:cs="Arial"/>
          <w:color w:val="FFFFFF"/>
          <w:sz w:val="36"/>
          <w:szCs w:val="36"/>
        </w:rPr>
      </w:pPr>
    </w:p>
    <w:p w:rsidR="00BB7B33" w:rsidRPr="00BB7B33" w:rsidP="00BB7B33">
      <w:pPr>
        <w:spacing w:before="0"/>
        <w:ind w:left="540" w:right="419"/>
        <w:rPr>
          <w:rFonts w:ascii="Arial" w:eastAsia="MS Mincho" w:hAnsi="Arial" w:cs="Arial"/>
          <w:color w:val="595959"/>
          <w:sz w:val="18"/>
          <w:szCs w:val="18"/>
        </w:rPr>
      </w:pPr>
    </w:p>
    <w:p w:rsidR="00BB7B33" w:rsidP="00BB7B33">
      <w:pPr>
        <w:keepNext/>
        <w:keepLines/>
        <w:spacing w:before="240"/>
        <w:jc w:val="center"/>
        <w:outlineLvl w:val="0"/>
        <w:rPr>
          <w:rFonts w:ascii="Arial" w:eastAsia="MS Mincho" w:hAnsi="Arial" w:cs="Arial"/>
          <w:color w:val="595959"/>
          <w:sz w:val="18"/>
          <w:szCs w:val="18"/>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P="006364DC">
      <w:pPr>
        <w:tabs>
          <w:tab w:val="left" w:pos="6705"/>
        </w:tabs>
        <w:rPr>
          <w:rFonts w:ascii="Arial" w:eastAsia="MS Mincho" w:hAnsi="Arial" w:cs="Arial"/>
          <w:color w:val="595959"/>
          <w:sz w:val="18"/>
          <w:szCs w:val="18"/>
        </w:rPr>
      </w:pPr>
      <w:r>
        <w:rPr>
          <w:rFonts w:ascii="Arial" w:eastAsia="MS Mincho" w:hAnsi="Arial" w:cs="Arial"/>
          <w:color w:val="595959"/>
          <w:sz w:val="18"/>
          <w:szCs w:val="18"/>
        </w:rPr>
        <w:tab/>
      </w:r>
    </w:p>
    <w:p w:rsidR="006364DC" w:rsidRPr="006364DC" w:rsidP="006364DC">
      <w:pPr>
        <w:tabs>
          <w:tab w:val="left" w:pos="6705"/>
        </w:tabs>
        <w:rPr>
          <w:rFonts w:ascii="Arial" w:eastAsia="MS Gothic" w:hAnsi="Arial" w:cs="Times New Roman"/>
        </w:rPr>
        <w:sectPr w:rsidSect="00CB36E6">
          <w:headerReference w:type="even" r:id="rId9"/>
          <w:headerReference w:type="default" r:id="rId10"/>
          <w:footerReference w:type="even" r:id="rId11"/>
          <w:footerReference w:type="default" r:id="rId12"/>
          <w:headerReference w:type="first" r:id="rId13"/>
          <w:footerReference w:type="first" r:id="rId14"/>
          <w:pgSz w:w="11906" w:h="16838" w:code="9"/>
          <w:pgMar w:top="2914" w:right="567" w:bottom="1701" w:left="567" w:header="0" w:footer="0" w:gutter="0"/>
          <w:cols w:space="397"/>
          <w:docGrid w:linePitch="360"/>
        </w:sectPr>
      </w:pPr>
    </w:p>
    <w:p>
      <w:pPr>
        <w:pStyle w:val="Heading10"/>
      </w:pPr>
      <w:bookmarkStart w:id="1" w:name="how-to-read-the-annual-report"/>
      <w:r>
        <w:t>How to read the Annual Report</w:t>
      </w:r>
    </w:p>
    <w:p>
      <w:pPr>
        <w:pStyle w:val="Heading20"/>
      </w:pPr>
      <w:bookmarkStart w:id="2" w:name="X7dae053837fd441fc10137421ccd7c20cf0e4c4"/>
      <w:r>
        <w:t>What does the</w:t>
      </w:r>
      <w:r>
        <w:t xml:space="preserve"> </w:t>
      </w:r>
      <w:r>
        <w:rPr>
          <w:i/>
          <w:iCs/>
        </w:rPr>
        <w:t>About Our School</w:t>
      </w:r>
      <w:r>
        <w:t xml:space="preserve"> </w:t>
      </w:r>
      <w:r>
        <w:t>commentary section of this report refer to?</w:t>
      </w:r>
    </w:p>
    <w:p>
      <w:r>
        <w:t>The</w:t>
      </w:r>
      <w:r>
        <w:t xml:space="preserve"> </w:t>
      </w:r>
      <w:r>
        <w:t>‘About our school’</w:t>
      </w:r>
      <w:r>
        <w:t xml:space="preserve"> </w:t>
      </w:r>
      <w:r>
        <w:t>commentary provides a brief background on the school and an overview of the school’s performance over the previous calendar year.</w:t>
      </w:r>
    </w:p>
    <w:p>
      <w:r>
        <w:t>The</w:t>
      </w:r>
      <w:r>
        <w:t xml:space="preserve"> </w:t>
      </w:r>
      <w:r>
        <w:t>‘School Context’</w:t>
      </w:r>
      <w:r>
        <w:t xml:space="preserve"> </w:t>
      </w:r>
      <w:r>
        <w:t>describes the school’s vision, values, and purpose. Details include the school’s geographic location, size and structure, social characteristics, enrolment characteristics, and special programs.</w:t>
      </w:r>
    </w:p>
    <w:p>
      <w:r>
        <w:t>The</w:t>
      </w:r>
      <w:r>
        <w:t xml:space="preserve"> </w:t>
      </w:r>
      <w:r>
        <w:t>‘Progress towards strategic goals, student outcomes, and student engagement’</w:t>
      </w:r>
      <w:r>
        <w:t xml:space="preserve"> </w:t>
      </w:r>
      <w:r>
        <w:t>section allows schools to reflect on highlights related to implementation of and progress towards the School Strategic Plan and Annual Implementation Plan, and efforts to improve student learning, wellbeing, and engagement.</w:t>
      </w:r>
    </w:p>
    <w:p>
      <w:pPr>
        <w:pStyle w:val="Heading20"/>
      </w:pPr>
      <w:bookmarkEnd w:id="2"/>
      <w:bookmarkStart w:id="3" w:name="X3f86002c48a0a3de82aada63598aa289f3922b4"/>
      <w:r>
        <w:t>What does the</w:t>
      </w:r>
      <w:r>
        <w:t xml:space="preserve"> </w:t>
      </w:r>
      <w:r>
        <w:t>‘Performance Summary’</w:t>
      </w:r>
      <w:r>
        <w:t xml:space="preserve"> </w:t>
      </w:r>
      <w:r>
        <w:t>section of this report refer to?</w:t>
      </w:r>
    </w:p>
    <w:p>
      <w:r>
        <w:t>The Performance Summary includes the following:</w:t>
      </w:r>
    </w:p>
    <w:p>
      <w:pPr>
        <w:numPr>
          <w:ilvl w:val="0"/>
          <w:numId w:val="24"/>
        </w:numPr>
      </w:pPr>
      <w:r>
        <w:t>School Profile</w:t>
      </w:r>
    </w:p>
    <w:p>
      <w:pPr>
        <w:numPr>
          <w:ilvl w:val="1"/>
          <w:numId w:val="25"/>
        </w:numPr>
      </w:pPr>
      <w:r>
        <w:t>student enrolment information</w:t>
      </w:r>
    </w:p>
    <w:p>
      <w:pPr>
        <w:numPr>
          <w:ilvl w:val="1"/>
          <w:numId w:val="25"/>
        </w:numPr>
      </w:pPr>
      <w:r>
        <w:t>the school’s</w:t>
      </w:r>
      <w:r>
        <w:t xml:space="preserve"> </w:t>
      </w:r>
      <w:r>
        <w:t>‘Student Family Occupation and Education’</w:t>
      </w:r>
      <w:r>
        <w:t xml:space="preserve"> </w:t>
      </w:r>
      <w:r>
        <w:t>category</w:t>
      </w:r>
    </w:p>
    <w:p>
      <w:pPr>
        <w:numPr>
          <w:ilvl w:val="1"/>
          <w:numId w:val="25"/>
        </w:numPr>
      </w:pPr>
      <w:r>
        <w:t>responses to the General Satisfaction area of the Parent/Caregiver/Guardian Opinion Survey</w:t>
      </w:r>
    </w:p>
    <w:p>
      <w:pPr>
        <w:numPr>
          <w:ilvl w:val="1"/>
          <w:numId w:val="25"/>
        </w:numPr>
      </w:pPr>
      <w:r>
        <w:t>school staff responses to the School Climate area of the School Staff Survey</w:t>
      </w:r>
    </w:p>
    <w:p>
      <w:pPr>
        <w:numPr>
          <w:ilvl w:val="0"/>
          <w:numId w:val="24"/>
        </w:numPr>
      </w:pPr>
      <w:r>
        <w:t>Learning</w:t>
      </w:r>
    </w:p>
    <w:p>
      <w:pPr>
        <w:numPr>
          <w:ilvl w:val="1"/>
          <w:numId w:val="26"/>
        </w:numPr>
      </w:pPr>
      <w:r>
        <w:t>English and Mathematics for Teacher Judgements against the curriculum</w:t>
      </w:r>
    </w:p>
    <w:p>
      <w:pPr>
        <w:numPr>
          <w:ilvl w:val="1"/>
          <w:numId w:val="26"/>
        </w:numPr>
      </w:pPr>
      <w:r>
        <w:t>Reading and Numeracy proficiency levels for National Literacy and Numeracy tests (NAPLAN)</w:t>
      </w:r>
    </w:p>
    <w:p>
      <w:pPr>
        <w:numPr>
          <w:ilvl w:val="1"/>
          <w:numId w:val="26"/>
        </w:numPr>
      </w:pPr>
      <w:r>
        <w:t>Reading and Numeracy relative growth for National Literacy and Numeracy tests (NAPLAN)</w:t>
      </w:r>
    </w:p>
    <w:p>
      <w:pPr>
        <w:numPr>
          <w:ilvl w:val="0"/>
          <w:numId w:val="24"/>
        </w:numPr>
      </w:pPr>
      <w:r>
        <w:t>Wellbeing</w:t>
      </w:r>
    </w:p>
    <w:p>
      <w:pPr>
        <w:numPr>
          <w:ilvl w:val="1"/>
          <w:numId w:val="27"/>
        </w:numPr>
      </w:pPr>
      <w:r>
        <w:t>student responses to the Sense of Connectedness area in the Student Attitudes to School Survey</w:t>
      </w:r>
    </w:p>
    <w:p>
      <w:pPr>
        <w:numPr>
          <w:ilvl w:val="1"/>
          <w:numId w:val="27"/>
        </w:numPr>
      </w:pPr>
      <w:r>
        <w:t>student responses to the Management of Bullying area in the Student Attitudes to School Survey</w:t>
      </w:r>
    </w:p>
    <w:p>
      <w:pPr>
        <w:numPr>
          <w:ilvl w:val="0"/>
          <w:numId w:val="24"/>
        </w:numPr>
      </w:pPr>
      <w:r>
        <w:t>Engagement</w:t>
      </w:r>
    </w:p>
    <w:p>
      <w:pPr>
        <w:numPr>
          <w:ilvl w:val="1"/>
          <w:numId w:val="28"/>
        </w:numPr>
      </w:pPr>
      <w:r>
        <w:t>average absence days per student</w:t>
      </w:r>
    </w:p>
    <w:p>
      <w:pPr>
        <w:numPr>
          <w:ilvl w:val="1"/>
          <w:numId w:val="28"/>
        </w:numPr>
      </w:pPr>
      <w:r>
        <w:t>student attendance rate</w:t>
      </w:r>
    </w:p>
    <w:p>
      <w:r>
        <w:t>Key terms used in the Performance Summary are defined below:</w:t>
      </w:r>
    </w:p>
    <w:p>
      <w:pPr>
        <w:pStyle w:val="Heading30"/>
      </w:pPr>
      <w:bookmarkStart w:id="4" w:name="similar-schools"/>
      <w:r>
        <w:t>Similar Schools</w:t>
      </w:r>
    </w:p>
    <w:p>
      <w:r>
        <w:t>Similar Schools are a group of Victorian government schools with similar characteristics to the school.</w:t>
      </w:r>
    </w:p>
    <w:p>
      <w:r>
        <w:t>This grouping of schools has been created by comparing each school’s socio-economic background of students, the number of non-English speaking students and the school’s size and location.</w:t>
      </w:r>
    </w:p>
    <w:p>
      <w:pPr>
        <w:pStyle w:val="Heading30"/>
      </w:pPr>
      <w:bookmarkEnd w:id="4"/>
      <w:bookmarkStart w:id="5" w:name="ndp-and-nda"/>
      <w:r>
        <w:t>NDP and NDA</w:t>
      </w:r>
    </w:p>
    <w:p>
      <w:r>
        <w:t>‘NDP’</w:t>
      </w:r>
      <w:r>
        <w:t xml:space="preserve"> </w:t>
      </w:r>
      <w:r>
        <w:t>refers to no data being published for privacy reasons or where there are insufficient underlying data. For example, very low numbers of participants or characteristics that may lead to identification will result in an</w:t>
      </w:r>
      <w:r>
        <w:t xml:space="preserve"> </w:t>
      </w:r>
      <w:r>
        <w:t>‘NDP’</w:t>
      </w:r>
      <w:r>
        <w:t xml:space="preserve"> </w:t>
      </w:r>
      <w:r>
        <w:t>label.</w:t>
      </w:r>
    </w:p>
    <w:p>
      <w:r>
        <w:t>‘NDA’</w:t>
      </w:r>
      <w:r>
        <w:t xml:space="preserve"> </w:t>
      </w:r>
      <w:r>
        <w:t>refers to no data being available. Some schools have no data for particular measures due to low enrolments. There may be no students enrolled in some year levels, so school comparisons are not possible.</w:t>
      </w:r>
    </w:p>
    <w:p>
      <w:r>
        <w:t>Note that new schools only have the latest year of data and no comparative data from previous years. The department also recognises unique circumstances in Specialist, Select Entry, English Language, Community Schools and schools that changed school type recently, where school-to-school comparisons are not appropriate.</w:t>
      </w:r>
    </w:p>
    <w:p>
      <w:pPr>
        <w:pStyle w:val="Heading30"/>
      </w:pPr>
      <w:bookmarkEnd w:id="5"/>
      <w:bookmarkStart w:id="6" w:name="the-victorian-curriculum"/>
      <w:r>
        <w:t>The Victorian Curriculum</w:t>
      </w:r>
    </w:p>
    <w:p>
      <w:r>
        <w:t>The Victorian Curriculum F–10 sets out what every student should learn during his or her first eleven years of schooling. The curriculum is the common set of knowledge and skills required by students for life-long learning, social development and active and informed citizenship.</w:t>
      </w:r>
    </w:p>
    <w:p>
      <w:r>
        <w:t>The Victorian Curriculum is assessed through teacher judgements of student achievement based on classroom learning.</w:t>
      </w:r>
    </w:p>
    <w:p>
      <w:r>
        <w:t>The curriculum has been developed to ensure that school subjects and their achievement standards enable continuous learning for all students, including students with disabilities.</w:t>
      </w:r>
    </w:p>
    <w:p>
      <w:r>
        <w:t>The</w:t>
      </w:r>
      <w:r>
        <w:t xml:space="preserve"> </w:t>
      </w:r>
      <w:r>
        <w:t>‘Towards Foundation Level Victorian Curriculum’</w:t>
      </w:r>
      <w:r>
        <w:t xml:space="preserve"> </w:t>
      </w:r>
      <w:r>
        <w:t>is integrated directly into the curriculum and is referred to as</w:t>
      </w:r>
      <w:r>
        <w:t xml:space="preserve"> </w:t>
      </w:r>
      <w:r>
        <w:t>‘Levels A to D’</w:t>
      </w:r>
      <w:r>
        <w:t>.</w:t>
      </w:r>
      <w:r>
        <w:t xml:space="preserve"> </w:t>
      </w:r>
      <w:r>
        <w:t>‘Levels A to D’</w:t>
      </w:r>
      <w:r>
        <w:t xml:space="preserve"> </w:t>
      </w:r>
      <w:r>
        <w:t>may be used for students with disabilities or students who may have additional learning needs. These levels are not associated with any set age or year level that links chronological age to cognitive progress (i.e., there is no age expected standard of achievement for</w:t>
      </w:r>
      <w:r>
        <w:t xml:space="preserve"> </w:t>
      </w:r>
      <w:r>
        <w:t>‘Levels A to D’</w:t>
      </w:r>
      <w:r>
        <w:t>).</w:t>
      </w:r>
    </w:p>
    <w:p>
      <w:pPr>
        <w:pStyle w:val="Heading20"/>
      </w:pPr>
      <w:bookmarkEnd w:id="6"/>
      <w:bookmarkEnd w:id="3"/>
      <w:bookmarkStart w:id="7" w:name="X6752e4e4dcbe51ad748a17b48e3170688bc559d"/>
      <w:r>
        <w:t>Updates to the</w:t>
      </w:r>
      <w:r>
        <w:t xml:space="preserve"> </w:t>
      </w:r>
      <w:r>
        <w:t>‘Performance Summary’</w:t>
      </w:r>
      <w:r>
        <w:t xml:space="preserve"> </w:t>
      </w:r>
      <w:r>
        <w:t>in the 2025 Annual Report</w:t>
      </w:r>
    </w:p>
    <w:p>
      <w:r>
        <w:t>NAPLAN relative growth data has been included in the 2025 Performance Summary as there is sufficient data available for the comparison.</w:t>
      </w:r>
    </w:p>
    <w:p>
      <w:pPr>
        <w:sectPr>
          <w:type w:val="nextPage"/>
          <w:pgSz w:w="11906" w:h="16838" w:orient="portrait"/>
          <w:pgMar w:top="1134" w:right="567" w:bottom="1701" w:left="567" w:header="0" w:footer="708" w:gutter="0"/>
          <w:cols w:space="720"/>
        </w:sectPr>
      </w:pPr>
    </w:p>
    <w:p w:rsidR="00BB7B33" w:rsidP="00635A6B">
      <w:pPr>
        <w:pStyle w:val="Heading1"/>
        <w:rPr>
          <w:rFonts w:eastAsia="MS Mincho"/>
        </w:rPr>
      </w:pPr>
      <w:r w:rsidRPr="00BB7B33">
        <w:rPr>
          <w:rFonts w:eastAsia="MS Mincho"/>
        </w:rPr>
        <w:t>About Our School</w:t>
      </w:r>
    </w:p>
    <w:tbl>
      <w:tblPr>
        <w:tblStyle w:val="TableGrid"/>
        <w:tblW w:w="978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81"/>
      </w:tblGrid>
      <w:tr w:rsidTr="009B729F">
        <w:tblPrEx>
          <w:tblW w:w="978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781" w:type="dxa"/>
            <w:tcBorders>
              <w:left w:val="none" w:sz="0" w:space="0" w:color="auto"/>
              <w:right w:val="none" w:sz="0" w:space="0" w:color="auto"/>
            </w:tcBorders>
            <w:shd w:val="clear" w:color="auto" w:fill="auto"/>
          </w:tcPr>
          <w:p w:rsidR="00A56AED" w:rsidRPr="00A56AED" w:rsidP="00A56AED">
            <w:pPr>
              <w:pStyle w:val="Heading2"/>
              <w:rPr>
                <w:b w:val="0"/>
                <w:bCs w:val="0"/>
              </w:rPr>
            </w:pPr>
            <w:r w:rsidRPr="00A56AED">
              <w:rPr>
                <w:b w:val="0"/>
                <w:bCs w:val="0"/>
              </w:rPr>
              <w:t>School context</w:t>
            </w:r>
          </w:p>
        </w:tc>
      </w:tr>
      <w:tr w:rsidTr="009B729F">
        <w:tblPrEx>
          <w:tblW w:w="9781" w:type="dxa"/>
          <w:tblInd w:w="-147" w:type="dxa"/>
          <w:tblLook w:val="04A0"/>
        </w:tblPrEx>
        <w:tc>
          <w:tcPr>
            <w:tcW w:w="9781" w:type="dxa"/>
            <w:shd w:val="clear" w:color="auto" w:fill="auto"/>
          </w:tcPr>
          <w:tbl>
            <w:tblPr>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
            <w:tblGrid>
              <w:gridCol w:w="9625"/>
            </w:tblGrid>
            <w:tr>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blCellSpacing w:w="15" w:type="dxa"/>
              </w:trPr>
              <w:tc>
                <w:tcPr>
                  <w:noWrap w:val="0"/>
                  <w:tcMar>
                    <w:top w:w="15" w:type="dxa"/>
                    <w:left w:w="15" w:type="dxa"/>
                    <w:bottom w:w="15" w:type="dxa"/>
                    <w:right w:w="15" w:type="dxa"/>
                  </w:tcMar>
                  <w:vAlign w:val="center"/>
                </w:tcPr>
                <w:p w:rsidR="00A56AED" w:rsidRPr="00A56AED" w:rsidP="00A56AED">
                  <w:pPr>
                    <w:rPr>
                      <w:rStyle w:val="DefaultParagraphFont"/>
                      <w:rFonts w:ascii="Arial" w:eastAsia="Arial" w:hAnsi="Arial" w:cs="Arial"/>
                      <w:b w:val="0"/>
                      <w:color w:val="000000"/>
                      <w:sz w:val="22"/>
                      <w:szCs w:val="22"/>
                    </w:rPr>
                  </w:pPr>
                  <w:r w:rsidRPr="00A56AED">
                    <w:rPr>
                      <w:rStyle w:val="DefaultParagraphFont"/>
                      <w:rFonts w:ascii="Arial" w:eastAsia="Arial" w:hAnsi="Arial" w:cs="Arial"/>
                      <w:b w:val="0"/>
                      <w:color w:val="000000"/>
                      <w:sz w:val="22"/>
                    </w:rPr>
                    <w:t>At Tate Street Primary School, our focus is to create a safe, connected and inclusive school community where the development of the whole student is at the forefront of everything we do.</w:t>
                  </w:r>
                </w:p>
                <w:p w:rsidR="00A56AED" w:rsidRPr="00A56AED" w:rsidP="00A56AED">
                  <w:pPr>
                    <w:rPr>
                      <w:rStyle w:val="DefaultParagraphFont"/>
                      <w:rFonts w:ascii="Arial" w:eastAsia="Arial" w:hAnsi="Arial" w:cs="Arial"/>
                      <w:b w:val="0"/>
                      <w:color w:val="000000"/>
                      <w:sz w:val="22"/>
                      <w:szCs w:val="22"/>
                    </w:rPr>
                  </w:pPr>
                  <w:r w:rsidRPr="00A56AED">
                    <w:rPr>
                      <w:rStyle w:val="DefaultParagraphFont"/>
                      <w:rFonts w:ascii="Arial" w:eastAsia="Arial" w:hAnsi="Arial" w:cs="Arial"/>
                      <w:b w:val="0"/>
                      <w:color w:val="000000"/>
                      <w:sz w:val="22"/>
                    </w:rPr>
                    <w:t>We strive to model the 3 values of Respect, Responsibility, and Resilience.</w:t>
                  </w:r>
                </w:p>
                <w:p w:rsidR="00A56AED" w:rsidRPr="00A56AED" w:rsidP="00A56AED">
                  <w:pPr>
                    <w:rPr>
                      <w:rStyle w:val="DefaultParagraphFont"/>
                      <w:rFonts w:ascii="Arial" w:eastAsia="Arial" w:hAnsi="Arial" w:cs="Arial"/>
                      <w:b w:val="0"/>
                      <w:color w:val="000000"/>
                      <w:sz w:val="22"/>
                      <w:szCs w:val="22"/>
                    </w:rPr>
                  </w:pPr>
                  <w:r w:rsidRPr="00A56AED">
                    <w:rPr>
                      <w:rStyle w:val="DefaultParagraphFont"/>
                      <w:rFonts w:ascii="Arial" w:eastAsia="Arial" w:hAnsi="Arial" w:cs="Arial"/>
                      <w:b w:val="0"/>
                      <w:color w:val="000000"/>
                      <w:sz w:val="22"/>
                    </w:rPr>
                    <w:t>We promote them in the school context using the following approaches:</w:t>
                  </w:r>
                </w:p>
                <w:p w:rsidR="00A56AED" w:rsidRPr="00A56AED" w:rsidP="00A56AED">
                  <w:pPr>
                    <w:rPr>
                      <w:rStyle w:val="DefaultParagraphFont"/>
                      <w:rFonts w:ascii="Arial" w:eastAsia="Arial" w:hAnsi="Arial" w:cs="Arial"/>
                      <w:b w:val="0"/>
                      <w:color w:val="000000"/>
                      <w:sz w:val="22"/>
                      <w:szCs w:val="22"/>
                    </w:rPr>
                  </w:pPr>
                  <w:r w:rsidRPr="00A56AED">
                    <w:rPr>
                      <w:rStyle w:val="DefaultParagraphFont"/>
                      <w:rFonts w:ascii="Arial" w:eastAsia="Arial" w:hAnsi="Arial" w:cs="Arial"/>
                      <w:b w:val="0"/>
                      <w:color w:val="000000"/>
                      <w:sz w:val="22"/>
                    </w:rPr>
                    <w:t>- display non-negotiable posters and banners that promote the values inside and out of the classrooms</w:t>
                  </w:r>
                </w:p>
                <w:p w:rsidR="00A56AED" w:rsidRPr="00A56AED" w:rsidP="00A56AED">
                  <w:pPr>
                    <w:rPr>
                      <w:rStyle w:val="DefaultParagraphFont"/>
                      <w:rFonts w:ascii="Arial" w:eastAsia="Arial" w:hAnsi="Arial" w:cs="Arial"/>
                      <w:b w:val="0"/>
                      <w:color w:val="000000"/>
                      <w:sz w:val="22"/>
                      <w:szCs w:val="22"/>
                    </w:rPr>
                  </w:pPr>
                  <w:r w:rsidRPr="00A56AED">
                    <w:rPr>
                      <w:rStyle w:val="DefaultParagraphFont"/>
                      <w:rFonts w:ascii="Arial" w:eastAsia="Arial" w:hAnsi="Arial" w:cs="Arial"/>
                      <w:b w:val="0"/>
                      <w:color w:val="000000"/>
                      <w:sz w:val="22"/>
                    </w:rPr>
                    <w:t>- celebrate our values in our school update (digital newsletter released fortnightly)</w:t>
                  </w:r>
                </w:p>
                <w:p w:rsidR="00A56AED" w:rsidRPr="00A56AED" w:rsidP="00A56AED">
                  <w:pPr>
                    <w:rPr>
                      <w:rStyle w:val="DefaultParagraphFont"/>
                      <w:rFonts w:ascii="Arial" w:eastAsia="Arial" w:hAnsi="Arial" w:cs="Arial"/>
                      <w:b w:val="0"/>
                      <w:color w:val="000000"/>
                      <w:sz w:val="22"/>
                      <w:szCs w:val="22"/>
                    </w:rPr>
                  </w:pPr>
                  <w:r w:rsidRPr="00A56AED">
                    <w:rPr>
                      <w:rStyle w:val="DefaultParagraphFont"/>
                      <w:rFonts w:ascii="Arial" w:eastAsia="Arial" w:hAnsi="Arial" w:cs="Arial"/>
                      <w:b w:val="0"/>
                      <w:color w:val="000000"/>
                      <w:sz w:val="22"/>
                    </w:rPr>
                    <w:t>- provide awards and recognition for students who actively demonstrate the values at fortnightly assemblies</w:t>
                  </w:r>
                </w:p>
                <w:p w:rsidR="00A56AED" w:rsidRPr="00A56AED" w:rsidP="00A56AED">
                  <w:pPr>
                    <w:rPr>
                      <w:rStyle w:val="DefaultParagraphFont"/>
                      <w:rFonts w:ascii="Arial" w:eastAsia="Arial" w:hAnsi="Arial" w:cs="Arial"/>
                      <w:b w:val="0"/>
                      <w:color w:val="000000"/>
                      <w:sz w:val="22"/>
                      <w:szCs w:val="22"/>
                    </w:rPr>
                  </w:pPr>
                  <w:r w:rsidRPr="00A56AED">
                    <w:rPr>
                      <w:rStyle w:val="DefaultParagraphFont"/>
                      <w:rFonts w:ascii="Arial" w:eastAsia="Arial" w:hAnsi="Arial" w:cs="Arial"/>
                      <w:b w:val="0"/>
                      <w:color w:val="000000"/>
                      <w:sz w:val="22"/>
                    </w:rPr>
                    <w:t>- explicitly deliver lessons on our values with students, with alignment to Respectful Relationships curriculum requirements</w:t>
                  </w:r>
                </w:p>
                <w:p w:rsidR="00A56AED" w:rsidRPr="00A56AED" w:rsidP="00A56AED">
                  <w:pPr>
                    <w:rPr>
                      <w:rStyle w:val="DefaultParagraphFont"/>
                      <w:rFonts w:ascii="Arial" w:eastAsia="Arial" w:hAnsi="Arial" w:cs="Arial"/>
                      <w:b w:val="0"/>
                      <w:color w:val="000000"/>
                      <w:sz w:val="22"/>
                      <w:szCs w:val="22"/>
                    </w:rPr>
                  </w:pPr>
                  <w:r w:rsidRPr="00A56AED">
                    <w:rPr>
                      <w:rStyle w:val="DefaultParagraphFont"/>
                      <w:rFonts w:ascii="Arial" w:eastAsia="Arial" w:hAnsi="Arial" w:cs="Arial"/>
                      <w:b w:val="0"/>
                      <w:color w:val="000000"/>
                      <w:sz w:val="22"/>
                    </w:rPr>
                    <w:t>- embed a values point system that is utilised school wide and monitored via a central dashboard</w:t>
                  </w:r>
                </w:p>
                <w:p w:rsidR="00A56AED" w:rsidRPr="00A56AED" w:rsidP="00A56AED">
                  <w:pPr>
                    <w:rPr>
                      <w:rStyle w:val="DefaultParagraphFont"/>
                      <w:rFonts w:ascii="Arial" w:eastAsia="Arial" w:hAnsi="Arial" w:cs="Arial"/>
                      <w:b w:val="0"/>
                      <w:color w:val="000000"/>
                      <w:sz w:val="22"/>
                      <w:szCs w:val="22"/>
                    </w:rPr>
                  </w:pPr>
                  <w:r w:rsidRPr="00A56AED">
                    <w:rPr>
                      <w:rStyle w:val="DefaultParagraphFont"/>
                      <w:rFonts w:ascii="Arial" w:eastAsia="Arial" w:hAnsi="Arial" w:cs="Arial"/>
                      <w:b w:val="0"/>
                      <w:color w:val="000000"/>
                      <w:sz w:val="22"/>
                    </w:rPr>
                    <w:t xml:space="preserve">Tate Street Primary School is in the suburb of Thomson, Geelong, which sits between East Geelong, South Geelong and Newcomb. We are located 5-6 mins out of the Geelong CBD. In 2025 TSPS had an enrolment of 164 students with our current school buildings capacity at 200 students. Of the 164 students, 80 were counted on the NCCD as receiving adjustments. </w:t>
                  </w:r>
                  <w:r w:rsidRPr="00A56AED">
                    <w:rPr>
                      <w:rStyle w:val="DefaultParagraphFont"/>
                      <w:rFonts w:ascii="Arial" w:eastAsia="Arial" w:hAnsi="Arial" w:cs="Arial"/>
                      <w:b/>
                      <w:bCs/>
                      <w:color w:val="000000"/>
                      <w:sz w:val="22"/>
                    </w:rPr>
                    <w:t xml:space="preserve">8 </w:t>
                  </w:r>
                  <w:r w:rsidRPr="00A56AED">
                    <w:rPr>
                      <w:rStyle w:val="DefaultParagraphFont"/>
                      <w:rFonts w:ascii="Arial" w:eastAsia="Arial" w:hAnsi="Arial" w:cs="Arial"/>
                      <w:b w:val="0"/>
                      <w:color w:val="000000"/>
                      <w:sz w:val="22"/>
                    </w:rPr>
                    <w:t xml:space="preserve">students are listed as EAL and </w:t>
                  </w:r>
                  <w:r w:rsidRPr="00A56AED">
                    <w:rPr>
                      <w:rStyle w:val="DefaultParagraphFont"/>
                      <w:rFonts w:ascii="Arial" w:eastAsia="Arial" w:hAnsi="Arial" w:cs="Arial"/>
                      <w:b/>
                      <w:bCs/>
                      <w:color w:val="000000"/>
                      <w:sz w:val="22"/>
                    </w:rPr>
                    <w:t>6</w:t>
                  </w:r>
                  <w:r w:rsidRPr="00A56AED">
                    <w:rPr>
                      <w:rStyle w:val="DefaultParagraphFont"/>
                      <w:rFonts w:ascii="Arial" w:eastAsia="Arial" w:hAnsi="Arial" w:cs="Arial"/>
                      <w:b w:val="0"/>
                      <w:color w:val="000000"/>
                      <w:sz w:val="22"/>
                    </w:rPr>
                    <w:t xml:space="preserve"> Aboriginal and Torres Strait Islander students attended the school. The decrease in students from the previous year was very minimal from 178 to 164. Our SFOE Index decreased from .4272 to .3447. In 2025 Tate Street Primary School had 8 generalist classrooms made up of 6 full time Classroom Teachers and 4 part time Classroom Teachers. We began the year with Learning Specialist allocated 1 day per week NFTF, working closely with the Executive Team to drive Numeracy &amp; Literacy improvement, and 1 full time staff member in the role of Disability Inclusion Leader (0.5) and Mental Health &amp; Wellbeing Leader (0.5). In the middle of the year, these roles were combined into 1 full time staff member in the role of Learning Specialist Curriculum &amp; Inclusion. We had 5 part time Specialist Teachers who delivered Science, Art, Music, PE and Auslan. The school has a full-time substantive Assistant Principal in a role to support all operations and curriculum. Our students with additional needs were supported by 12 Part time Education Support Staff. TSPS had 2 Tutor Learning Initiative Teachers who had a focus on Literacy in 2025, with one teacher targeting Year 1 and 2 students and the other targeting Year 3 and 4 students. We also had an Education Support staff member who facilitated a Speech Sounds (Oral Language) Intervention Program with small groups for students in Prep and Year 1. We commissioned our out of school hours care program to 'TheirCare', which is open from 7.00-9.00am and 3.15-6.15pm.</w:t>
                  </w:r>
                </w:p>
              </w:tc>
            </w:tr>
          </w:tbl>
          <w:p w:rsidR="00A56AED" w:rsidRPr="00A56AED" w:rsidP="00A56AED">
            <w:pPr>
              <w:rPr>
                <w:rFonts w:ascii="Arial" w:eastAsia="Arial" w:hAnsi="Arial" w:cs="Arial"/>
                <w:b w:val="0"/>
                <w:color w:val="auto"/>
                <w:sz w:val="22"/>
              </w:rPr>
            </w:pPr>
          </w:p>
        </w:tc>
      </w:tr>
      <w:tr w:rsidTr="009B729F">
        <w:tblPrEx>
          <w:tblW w:w="9781" w:type="dxa"/>
          <w:tblInd w:w="-147" w:type="dxa"/>
          <w:tblLook w:val="04A0"/>
        </w:tblPrEx>
        <w:tc>
          <w:tcPr>
            <w:tcW w:w="9781" w:type="dxa"/>
          </w:tcPr>
          <w:p w:rsidR="00A56AED" w:rsidRPr="00A56AED" w:rsidP="00A56AED">
            <w:pPr>
              <w:pStyle w:val="Heading2"/>
              <w:rPr>
                <w:bCs w:val="0"/>
              </w:rPr>
            </w:pPr>
            <w:r w:rsidRPr="00BB7B33">
              <w:rPr>
                <w:rFonts w:eastAsia="MS Gothic"/>
              </w:rPr>
              <w:t>Progress towards strategic goals, student outcomes and student engagement</w:t>
            </w:r>
          </w:p>
        </w:tc>
      </w:tr>
      <w:tr w:rsidTr="009B729F">
        <w:tblPrEx>
          <w:tblW w:w="9781" w:type="dxa"/>
          <w:tblInd w:w="-147" w:type="dxa"/>
          <w:tblLook w:val="04A0"/>
        </w:tblPrEx>
        <w:tc>
          <w:tcPr>
            <w:tcW w:w="9781" w:type="dxa"/>
          </w:tcPr>
          <w:p w:rsidR="00A56AED" w:rsidRPr="00BB7B33" w:rsidP="00A56AED">
            <w:pPr>
              <w:pStyle w:val="Heading3"/>
              <w:rPr>
                <w:rFonts w:eastAsia="MS Gothic"/>
              </w:rPr>
            </w:pPr>
            <w:r w:rsidRPr="00BB7B33">
              <w:t>Learning</w:t>
            </w:r>
          </w:p>
        </w:tc>
      </w:tr>
      <w:tr w:rsidTr="009B729F">
        <w:tblPrEx>
          <w:tblW w:w="9781" w:type="dxa"/>
          <w:tblInd w:w="-147" w:type="dxa"/>
          <w:tblLook w:val="04A0"/>
        </w:tblPrEx>
        <w:tc>
          <w:tcPr>
            <w:tcW w:w="9781" w:type="dxa"/>
            <w:shd w:val="clear" w:color="auto" w:fill="auto"/>
          </w:tcPr>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In 2025, Tate St PS made strong progress toward improving student learning outcomes, supported by strengthened instructional consistency, improved assessment practices and a deepening culture of data-informed teaching. There were significant gains in Year 3 NAPLAN in both Reading &amp; Numeracy, reflecting the sustained focus on explicit teaching and systematic assessment, particularly in the early years. This excellent practice was recognised at a system level, where we welcomed 16 visiting schools from the Barwon area to observe our literacy practice, particularly the implementation of Phonics Plus in Prep and Years 1–2. TSPS was selected as a statewide lead school in literacy, with professional filming taking place in our classrooms to support teachers across Victoria.</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This focus on Literacy allowed us to embed systematic synthetic phonics and structured literacy approaches. The impact of this work was evident in early years data, with a significant percentage of Prep students achieving minimal or negligible risk in reading after the first full year of consistent SSP implementation. Staff also identified the need for a universal fluency assessment and a whole-school approach to screening and progress monitoring to support a more responsive MTSS model. We look forward to this work continuing in 2026. </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Mathematics was also a major focus, and our focus on the Victorian Lesson Plans provided a structured approach that ensured consistency across year levels. Coaching and targeted professional learning helped teachers refine practice and strengthen their understanding of effective numeracy instruction. This work contributed to clearer expectations, stronger alignment and improved teacher confidence. This work will continue in 2026.</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Professional learning remained a strength, with teachers and ES staff engaging in training on how students learn, mathematical language and explicit teaching. These efforts contributed to more predictable learning environments and stronger routines. We engaged a Literacy consultant to support staff with this work and this will also continue in 2026.</w:t>
            </w:r>
          </w:p>
          <w:p w:rsidR="00A56AED" w:rsidRPr="00BB7B33" w:rsidP="00A56AED">
            <w:pPr>
              <w:rPr>
                <w:rFonts w:ascii="Arial" w:eastAsia="Arial" w:hAnsi="Arial" w:cs="Arial"/>
                <w:b w:val="0"/>
                <w:color w:val="auto"/>
                <w:sz w:val="22"/>
              </w:rPr>
            </w:pPr>
          </w:p>
        </w:tc>
      </w:tr>
      <w:tr w:rsidTr="009B729F">
        <w:tblPrEx>
          <w:tblW w:w="9781" w:type="dxa"/>
          <w:tblInd w:w="-147" w:type="dxa"/>
          <w:tblLook w:val="04A0"/>
        </w:tblPrEx>
        <w:tc>
          <w:tcPr>
            <w:tcW w:w="9781" w:type="dxa"/>
          </w:tcPr>
          <w:p w:rsidR="00A56AED" w:rsidRPr="00BB7B33" w:rsidP="00A56AED">
            <w:pPr>
              <w:pStyle w:val="Heading3"/>
              <w:rPr>
                <w:rFonts w:eastAsia="MS Gothic"/>
              </w:rPr>
            </w:pPr>
            <w:r w:rsidRPr="00BB7B33">
              <w:t>Wellbeing</w:t>
            </w:r>
          </w:p>
        </w:tc>
      </w:tr>
      <w:tr w:rsidTr="009B729F">
        <w:tblPrEx>
          <w:tblW w:w="9781" w:type="dxa"/>
          <w:tblInd w:w="-147" w:type="dxa"/>
          <w:tblLook w:val="04A0"/>
        </w:tblPrEx>
        <w:tc>
          <w:tcPr>
            <w:tcW w:w="9781" w:type="dxa"/>
            <w:shd w:val="clear" w:color="auto" w:fill="auto"/>
          </w:tcPr>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Highlights from 2025 included:</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 With a corporate partnership with Coles, we were able to introduce the Resilience Project school wide</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 Disability Inclusion Leader (Learning Specialist) focused on early identification, building teacher capacity in supporting mental health concerns in the classroom, strengthening linkages between the school and other support services and creating care pathways. </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 Fortnightly contribution to the weekly update for Wellbeing, ensuring parents received regular communication around specific programs and information to support the wellbeing of their child at home</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 Student Wellbeing Leader provided individual and small group supports (0.4) to support work alongside Inclusion Leader</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 Think U Know workshop hosted at the school, supporting the school community to speak to their children about cyber safety</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 Totally Random Puberty sessions provided to Grade 5/6 students</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bCs/>
                <w:color w:val="auto"/>
                <w:sz w:val="22"/>
              </w:rPr>
              <w:t> </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Highlights from the 2025 Student Attitude to School Survey related to wellbeing:</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1. Respect for diversity 84%</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2. Sense of inclusion 94%</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3. Advocate at school 88%</w:t>
            </w:r>
          </w:p>
          <w:p w:rsidR="00A56AED" w:rsidRPr="00BB7B33" w:rsidP="00A56AED">
            <w:pPr>
              <w:rPr>
                <w:rFonts w:ascii="Arial" w:eastAsia="Arial" w:hAnsi="Arial" w:cs="Arial"/>
                <w:b w:val="0"/>
                <w:color w:val="auto"/>
                <w:sz w:val="22"/>
              </w:rPr>
            </w:pPr>
          </w:p>
        </w:tc>
      </w:tr>
      <w:tr w:rsidTr="009B729F">
        <w:tblPrEx>
          <w:tblW w:w="9781" w:type="dxa"/>
          <w:tblInd w:w="-147" w:type="dxa"/>
          <w:tblLook w:val="04A0"/>
        </w:tblPrEx>
        <w:tc>
          <w:tcPr>
            <w:tcW w:w="9781" w:type="dxa"/>
          </w:tcPr>
          <w:p w:rsidR="00A56AED" w:rsidRPr="00BB7B33" w:rsidP="00A56AED">
            <w:pPr>
              <w:pStyle w:val="Heading3"/>
              <w:rPr>
                <w:rFonts w:eastAsia="MS Gothic"/>
              </w:rPr>
            </w:pPr>
            <w:r w:rsidRPr="00BB7B33">
              <w:t>Engagement</w:t>
            </w:r>
          </w:p>
        </w:tc>
      </w:tr>
      <w:tr w:rsidTr="009B729F">
        <w:tblPrEx>
          <w:tblW w:w="9781" w:type="dxa"/>
          <w:tblInd w:w="-147" w:type="dxa"/>
          <w:tblLook w:val="04A0"/>
        </w:tblPrEx>
        <w:tc>
          <w:tcPr>
            <w:tcW w:w="9781" w:type="dxa"/>
            <w:shd w:val="clear" w:color="auto" w:fill="auto"/>
          </w:tcPr>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-In 2025, we continued to implement the school values system, which saw over 56,000 values points awarded across the school by teaching and ES staff, which is a significant achievement. Values points were awarded for students demonstrating behaviours consistent with Respect, Responsibility and Resilience and given alongside process praise.</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-Fortnightly assemblies saw students from each class awarded on a specific value (Respect, Responsibility and Resilience) and a random drawn winner awarded a gift voucher for Rebel or Dymocks. </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-We implemented a new Starting Right program, developed in 2024, a comprehensive lesson outline for P-6 for the first two weeks of school, incorporating behaviour management processes/Values and the 4R's, school wide routines, TRP, Launching Literacy/Phonics, Writing and Maths, Acknowledgement to Country, Berry Street and all other non-negotiable engagement and wellbeing practices. </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-We implemented a Tiered response system (Tier 1 &gt; Tier 3) which included classroom teacher, admin and leadership responses and included attendance and wellbeing discussions within weekly PLC meetings. </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-A highly engaged Student Voice Association, delivered fortnightly meetings, clear agendas, assembly updates, and events such as the much-loved Book Week Door Decorating competition.</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-Our Recess and Lunch Clubs continued to draw strong attendance, with Soccer Club, Girls Club, Garden Club, Pokémon Club, Mindfulness &amp; Colouring Club, and Calm Club all full of enthusiastic participants.</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-Our Year 5 students enjoyed multiple visits to Newcomb Secondary College, participating in Year 7 Science and Food Technology.</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w:t>
            </w:r>
            <w:r w:rsidRPr="00BB7B33">
              <w:rPr>
                <w:rStyle w:val="DefaultParagraphFont"/>
                <w:rFonts w:ascii="Arial" w:eastAsia="Arial" w:hAnsi="Arial" w:cs="Arial"/>
                <w:b/>
                <w:bCs/>
                <w:color w:val="auto"/>
                <w:sz w:val="22"/>
              </w:rPr>
              <w:t>Student attendance</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w:t>
            </w:r>
            <w:r w:rsidRPr="00BB7B33">
              <w:rPr>
                <w:rStyle w:val="DefaultParagraphFont"/>
                <w:rFonts w:ascii="Arial" w:eastAsia="Arial" w:hAnsi="Arial" w:cs="Arial"/>
                <w:b/>
                <w:bCs/>
                <w:color w:val="auto"/>
                <w:sz w:val="22"/>
              </w:rPr>
              <w:t>Dogs Connect</w:t>
            </w:r>
          </w:p>
          <w:p w:rsidR="00A56AED" w:rsidRPr="00BB7B33" w:rsidP="00A56AED">
            <w:pPr>
              <w:rPr>
                <w:rFonts w:ascii="Arial" w:eastAsia="Arial" w:hAnsi="Arial" w:cs="Arial"/>
                <w:b w:val="0"/>
                <w:color w:val="auto"/>
                <w:sz w:val="22"/>
              </w:rPr>
            </w:pPr>
          </w:p>
        </w:tc>
      </w:tr>
      <w:tr w:rsidTr="009B729F">
        <w:tblPrEx>
          <w:tblW w:w="9781" w:type="dxa"/>
          <w:tblInd w:w="-147" w:type="dxa"/>
          <w:tblLook w:val="04A0"/>
        </w:tblPrEx>
        <w:tc>
          <w:tcPr>
            <w:tcW w:w="9781" w:type="dxa"/>
          </w:tcPr>
          <w:p w:rsidR="00A56AED" w:rsidRPr="00BB7B33" w:rsidP="00A56AED">
            <w:pPr>
              <w:pStyle w:val="Heading2"/>
              <w:rPr>
                <w:rFonts w:eastAsia="MS Gothic"/>
              </w:rPr>
            </w:pPr>
            <w:r w:rsidRPr="00BB7B33">
              <w:rPr>
                <w:rFonts w:eastAsia="MS Gothic"/>
              </w:rPr>
              <w:t>Other highlights from the school year</w:t>
            </w:r>
          </w:p>
        </w:tc>
      </w:tr>
      <w:tr w:rsidTr="009B729F">
        <w:tblPrEx>
          <w:tblW w:w="9781" w:type="dxa"/>
          <w:tblInd w:w="-147" w:type="dxa"/>
          <w:tblLook w:val="04A0"/>
        </w:tblPrEx>
        <w:tc>
          <w:tcPr>
            <w:tcW w:w="9781" w:type="dxa"/>
          </w:tcPr>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   TSPS facilitated 3 successful camps to Melbourne (City Camp), Glenmore (Lady Northcote) and Queenscliff (Cottage by the Sea for our Year 6s, Year 5s and Year 4s, respectively</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   Our Music program once again thrived, with the MarimbaTaters (Marimba Band Year 4-6) performing at the National Folk Festival (Canberra), The Queenscliff Music Festival &amp; The Port Fairy Folk Festival</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   We held our annual whole school 'Bush Dance' at the end of Term 2, which invites all parents to attend and participate in student lead performances of dance and Marimba</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   We held our biannual Winter Solstice, inviting members from the whole community into our school for a celebration of art and music</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   We installed a new perimeter fence that allows all students to remain safe at Tate St PS, while increasing our level of security out of school hours</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   Our basketball program has also continued to flourish, now boasting six teams in local, after school competition</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   The school enjoyed a fantastic day for the House Athletics Carnival for all students, which we ran on the school grounds.</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   The students in Years 3 - 6 were again provided with the opportunity to participate in in the District Athletics, Cross Country, Basketball, Football, Netball, Soccer and Tee-Ball Carnivals.</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   We had 3 school chickens in our farm, with parents and students on a weekend roster to look after the chickens.</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   We were able to continue the Parents &amp; Friends Committee with many successful events and functions throughout the year; Prep picnic afternoon, Special lunch days, Colour Run, Mothers and Fathers Day Stalls and Parent Trivia Night.</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   Most notably, we were able to install a full screen and sound setup for the stadium funded by the P&amp;F which has further enhanced our ability to provide a professional, student led assembly item each fortnight.</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  The year was closed with a community Christmas Concert led by our Music Specialist.</w:t>
            </w:r>
          </w:p>
          <w:p w:rsidR="00476100" w:rsidRPr="00BB7B33" w:rsidP="00476100">
            <w:pPr>
              <w:rPr>
                <w:rFonts w:ascii="Arial" w:eastAsia="Arial" w:hAnsi="Arial" w:cs="Arial"/>
                <w:b w:val="0"/>
                <w:color w:val="auto"/>
                <w:sz w:val="22"/>
              </w:rPr>
            </w:pPr>
          </w:p>
        </w:tc>
      </w:tr>
      <w:tr w:rsidTr="009B729F">
        <w:tblPrEx>
          <w:tblW w:w="9781" w:type="dxa"/>
          <w:tblInd w:w="-147" w:type="dxa"/>
          <w:tblLook w:val="04A0"/>
        </w:tblPrEx>
        <w:tc>
          <w:tcPr>
            <w:tcW w:w="9781" w:type="dxa"/>
          </w:tcPr>
          <w:p w:rsidR="00A56AED" w:rsidRPr="00BB7B33" w:rsidP="00A56AED">
            <w:pPr>
              <w:pStyle w:val="Heading2"/>
              <w:rPr>
                <w:rFonts w:eastAsia="MS Gothic"/>
              </w:rPr>
            </w:pPr>
            <w:r w:rsidRPr="00BB7B33">
              <w:rPr>
                <w:rFonts w:eastAsia="MS Gothic"/>
              </w:rPr>
              <w:t>Financial performance</w:t>
            </w:r>
          </w:p>
        </w:tc>
      </w:tr>
      <w:tr w:rsidTr="009B729F">
        <w:tblPrEx>
          <w:tblW w:w="9781" w:type="dxa"/>
          <w:tblInd w:w="-147" w:type="dxa"/>
          <w:tblLook w:val="04A0"/>
        </w:tblPrEx>
        <w:tc>
          <w:tcPr>
            <w:tcW w:w="9781" w:type="dxa"/>
            <w:shd w:val="clear" w:color="auto" w:fill="auto"/>
          </w:tcPr>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Tate Street operated in line with budget in 2025.</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Curriculum contributions declined from 2024 with 45% of our families making curriculum contributions in 2025.</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Significant items of expenditure:</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Equity funding &amp; Disability inclusion combined to provide an extra $70,000.00 worth of staffing for student support in classrooms.</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School perimeter fence replacement:  at a total of $170,000. The school received a DET grant for $75,000 to assist in the cost of this project.</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School infrastructure: at a cost of $137,000.00 including wages, repairs, cleaning, maintenance and utilities.</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Staff professional development and planning time release.</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CRT budget was once again a big cost in 2025, $84,000 or 121% of budget expended.</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Current lease agreements: ·</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BOQ photocopiers (OEDigital) ·</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SRP Targeted funding ·</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Disability inclusion Tier 2 &amp; 3</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Student excellence ·</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Mental health in Primary schools</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Equity (social disadvantage)</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Swimming in schools</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Respectful relationships</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Tutor Learning initiative</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Schools’ mental health fund</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Flexible work for school leaders’ initiative</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School held funds:</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The school holds fund for the following programs: Parents and Friends, Marimbataters, SVA and Graduation.</w:t>
            </w:r>
          </w:p>
          <w:p w:rsidR="00476100" w:rsidRPr="00BB7B33" w:rsidP="00476100">
            <w:pPr>
              <w:rPr>
                <w:rFonts w:ascii="Arial" w:eastAsia="Arial" w:hAnsi="Arial" w:cs="Arial"/>
                <w:b w:val="0"/>
                <w:color w:val="auto"/>
                <w:sz w:val="22"/>
              </w:rPr>
            </w:pPr>
          </w:p>
        </w:tc>
      </w:tr>
      <w:tr w:rsidTr="009B729F">
        <w:tblPrEx>
          <w:tblW w:w="9781" w:type="dxa"/>
          <w:tblInd w:w="-147" w:type="dxa"/>
          <w:tblLook w:val="04A0"/>
        </w:tblPrEx>
        <w:tc>
          <w:tcPr>
            <w:tcW w:w="9781" w:type="dxa"/>
            <w:noWrap w:val="0"/>
          </w:tcPr>
          <w:p w:rsidR="00476100" w:rsidRPr="00BB7B33" w:rsidP="00476100"/>
          <w:p>
            <w:pPr>
              <w:jc w:val="center"/>
              <w:rPr>
                <w:rStyle w:val="DefaultParagraphFont"/>
                <w:rFonts w:ascii="Arial" w:eastAsia="Arial" w:hAnsi="Arial" w:cs="Arial"/>
                <w:sz w:val="22"/>
                <w:szCs w:val="22"/>
              </w:rPr>
            </w:pPr>
            <w:r>
              <w:rPr>
                <w:rStyle w:val="DefaultParagraphFont"/>
                <w:rFonts w:ascii="Arial" w:eastAsia="Arial" w:hAnsi="Arial" w:cs="Arial"/>
                <w:b/>
                <w:bCs/>
                <w:sz w:val="22"/>
                <w:szCs w:val="22"/>
              </w:rPr>
              <w:t xml:space="preserve">For more detailed information regarding our school please visit our website at </w:t>
            </w:r>
            <w:r>
              <w:rPr>
                <w:rStyle w:val="DefaultParagraphFont"/>
                <w:rFonts w:ascii="Arial" w:eastAsia="Arial" w:hAnsi="Arial" w:cs="Arial"/>
                <w:b/>
                <w:bCs/>
                <w:sz w:val="22"/>
                <w:szCs w:val="22"/>
              </w:rPr>
              <w:fldChar w:fldCharType="begin"/>
            </w:r>
            <w:r>
              <w:rPr>
                <w:rStyle w:val="DefaultParagraphFont"/>
                <w:rFonts w:ascii="Arial" w:eastAsia="Arial" w:hAnsi="Arial" w:cs="Arial"/>
                <w:b/>
                <w:bCs/>
                <w:sz w:val="22"/>
                <w:szCs w:val="22"/>
              </w:rPr>
              <w:instrText xml:space="preserve"> HYPERLINK "https://www.tatestps.vic.edu.au/" </w:instrText>
            </w:r>
            <w:r>
              <w:rPr>
                <w:rStyle w:val="DefaultParagraphFont"/>
                <w:rFonts w:ascii="Arial" w:eastAsia="Arial" w:hAnsi="Arial" w:cs="Arial"/>
                <w:b/>
                <w:bCs/>
                <w:sz w:val="22"/>
                <w:szCs w:val="22"/>
              </w:rPr>
              <w:fldChar w:fldCharType="separate"/>
            </w:r>
            <w:r>
              <w:rPr>
                <w:rStyle w:val="DefaultParagraphFont"/>
                <w:rFonts w:ascii="Arial" w:eastAsia="Arial" w:hAnsi="Arial" w:cs="Arial"/>
                <w:b/>
                <w:bCs/>
                <w:sz w:val="22"/>
                <w:szCs w:val="22"/>
              </w:rPr>
              <w:t>https://www.tatestps.vic.edu.au/</w:t>
            </w:r>
            <w:r>
              <w:rPr>
                <w:rStyle w:val="DefaultParagraphFont"/>
                <w:rFonts w:ascii="Arial" w:eastAsia="Arial" w:hAnsi="Arial" w:cs="Arial"/>
                <w:b/>
                <w:bCs/>
                <w:sz w:val="22"/>
                <w:szCs w:val="22"/>
              </w:rPr>
              <w:fldChar w:fldCharType="end"/>
            </w:r>
          </w:p>
          <w:p>
            <w:pPr>
              <w:rPr>
                <w:rFonts w:ascii="Arial" w:eastAsia="Arial" w:hAnsi="Arial" w:cs="Arial"/>
                <w:sz w:val="22"/>
              </w:rPr>
            </w:pPr>
          </w:p>
        </w:tc>
      </w:tr>
    </w:tbl>
    <w:p w:rsidR="0065776E" w:rsidP="004827CE">
      <w:pPr>
        <w:spacing w:before="0" w:after="0" w:line="240" w:lineRule="auto"/>
      </w:pPr>
    </w:p>
    <w:p w:rsidR="0065776E">
      <w:pPr>
        <w:spacing w:before="0" w:after="0" w:line="240" w:lineRule="auto"/>
      </w:pPr>
      <w:r>
        <w:br w:type="page"/>
      </w:r>
    </w:p>
    <w:p w:rsidR="00147B2E" w:rsidP="004827CE">
      <w:pPr>
        <w:spacing w:before="0" w:after="0" w:line="240" w:lineRule="auto"/>
        <w:sectPr w:rsidSect="0024636E">
          <w:pgSz w:w="11900" w:h="16840"/>
          <w:pgMar w:top="1882" w:right="567" w:bottom="1701" w:left="567" w:header="227" w:footer="0" w:gutter="0"/>
          <w:cols w:space="708"/>
          <w:docGrid w:linePitch="360"/>
        </w:sectPr>
      </w:pPr>
    </w:p>
    <w:p>
      <w:pPr>
        <w:pStyle w:val="Heading11"/>
      </w:pPr>
      <w:bookmarkEnd w:id="7"/>
      <w:bookmarkEnd w:id="1"/>
      <w:bookmarkStart w:id="8" w:name="performance-summary"/>
      <w:r>
        <w:t>PERFORMANCE SUMMARY</w:t>
      </w:r>
    </w:p>
    <w:p>
      <w:r>
        <w:t>The Performance Summary for government schools provides an overview of how this school is contributing to the objectives of the Education State and how it compares to other Victorian government schools.</w:t>
      </w:r>
    </w:p>
    <w:p>
      <w:r>
        <w:t>All schools work in partnership with their school community to improve outcomes for children and young people. Sharing this information with parents and the wider school community helps to support community engagement in student learning, a key priority of the Framework for Improving Student Outcomes 2.0 (FISO 2.0).</w:t>
      </w:r>
    </w:p>
    <w:p>
      <w:r>
        <w:t>Refer to the</w:t>
      </w:r>
      <w:r>
        <w:t xml:space="preserve"> </w:t>
      </w:r>
      <w:r>
        <w:t>‘How to read the Annual Report’</w:t>
      </w:r>
      <w:r>
        <w:t xml:space="preserve"> </w:t>
      </w:r>
      <w:r>
        <w:t>section for help on how to interpret this report.</w:t>
      </w:r>
    </w:p>
    <w:p>
      <w:pPr>
        <w:pStyle w:val="Heading21"/>
      </w:pPr>
      <w:bookmarkStart w:id="9" w:name="school-profile"/>
      <w:r>
        <w:t>SCHOOL PROFILE</w:t>
      </w:r>
    </w:p>
    <w:p>
      <w:pPr>
        <w:pStyle w:val="Heading31"/>
      </w:pPr>
      <w:bookmarkStart w:id="10" w:name="enrolment-profile"/>
      <w:r>
        <w:t>Enrolment Profile</w:t>
      </w:r>
    </w:p>
    <w:p>
      <w:r>
        <w:t>A total of 166 students were enrolled at this school in 2025, 76 female and 90 male.</w:t>
      </w:r>
      <w:r>
        <w:t xml:space="preserve"> </w:t>
      </w:r>
      <w:r>
        <w:t>8% had English as an additional language and NDP were Aboriginal or Torres Strait Islander.</w:t>
      </w:r>
      <w:r>
        <w:t xml:space="preserve"> </w:t>
      </w:r>
    </w:p>
    <w:p>
      <w:pPr>
        <w:pStyle w:val="Heading31"/>
      </w:pPr>
      <w:bookmarkEnd w:id="10"/>
      <w:bookmarkStart w:id="11" w:name="overall-socio-economic-profile"/>
      <w:r>
        <w:t>Overall Socio-Economic Profile</w:t>
      </w:r>
    </w:p>
    <w:p>
      <w:r>
        <w:t>The overall school’s socio-economic profile is based on the school’s Student Family Occupation and Education index (SFOE). SFOE is a measure of socio-educational disadvantage of a school, based on educational and employment characteristics of the parents/carers of students enrolled at the school. Possible SFOE band values are: Low, Low-Medium, Medium and High. A</w:t>
      </w:r>
      <w:r>
        <w:t xml:space="preserve"> </w:t>
      </w:r>
      <w:r>
        <w:t>‘Low’</w:t>
      </w:r>
      <w:r>
        <w:t xml:space="preserve"> </w:t>
      </w:r>
      <w:r>
        <w:t>band represents a low level of socio-educational disadvantage, a</w:t>
      </w:r>
      <w:r>
        <w:t xml:space="preserve"> </w:t>
      </w:r>
      <w:r>
        <w:t>‘High’</w:t>
      </w:r>
      <w:r>
        <w:t xml:space="preserve"> </w:t>
      </w:r>
      <w:r>
        <w:t>band represents a high level of socio-educational disadvantage. This school’s SFOE band value is</w:t>
      </w:r>
      <w:r>
        <w:t xml:space="preserve"> </w:t>
      </w:r>
      <w:r>
        <w:rPr>
          <w:b/>
          <w:bCs/>
        </w:rPr>
        <w:t>Low - Medium</w:t>
      </w:r>
      <w:r>
        <w:t>.</w:t>
      </w:r>
    </w:p>
    <w:p>
      <w:pPr>
        <w:pStyle w:val="Heading31"/>
      </w:pPr>
      <w:bookmarkEnd w:id="11"/>
      <w:bookmarkStart w:id="12" w:name="parent-satisfaction-summary"/>
      <w:r>
        <w:t>Parent Satisfaction Summary</w:t>
      </w:r>
    </w:p>
    <w:p>
      <w:r>
        <w:t>The percentage endorsement by parents on their General School Satisfaction, as reported in the annual Parent/Caregiver/Guardian Opinion Survey. Percent endorsement indicates the percent of positive responses (agree or strongly agree) from parents who responded to the survey.</w:t>
      </w:r>
    </w:p>
    <w:tbl>
      <w:tblPr>
        <w:tblStyle w:val="TableNormal"/>
        <w:jc w:val="center"/>
        <w:tblLayout w:type="fixed"/>
        <w:tblLook w:val="0420"/>
      </w:tblPr>
      <w:tblGrid>
        <w:gridCol w:w="6048"/>
        <w:gridCol w:w="1728"/>
        <w:gridCol w:w="1008"/>
        <w:gridCol w:w="1440"/>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 positive endorsement General School Satisfaction (Parent/Caregiver/Guardian Opinion Survey)</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94.2%</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13498894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xmlns:r="http://schemas.openxmlformats.org/officeDocument/2006/relationships" r:embed="rId15"/>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77.1%</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xmlns:r="http://schemas.openxmlformats.org/officeDocument/2006/relationships" r:embed="rId16"/>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82.0%</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noChangeArrowheads="1"/>
                          </pic:cNvPicPr>
                        </pic:nvPicPr>
                        <pic:blipFill>
                          <a:blip xmlns:r="http://schemas.openxmlformats.org/officeDocument/2006/relationships" r:embed="rId17"/>
                          <a:stretch>
                            <a:fillRect/>
                          </a:stretch>
                        </pic:blipFill>
                        <pic:spPr bwMode="auto">
                          <a:xfrm>
                            <a:off x="0" y="0"/>
                            <a:ext cx="10160" cy="2540"/>
                          </a:xfrm>
                          <a:prstGeom prst="rect">
                            <a:avLst/>
                          </a:prstGeom>
                          <a:noFill/>
                        </pic:spPr>
                      </pic:pic>
                    </a:graphicData>
                  </a:graphic>
                </wp:inline>
              </w:drawing>
            </w:r>
          </w:p>
        </w:tc>
      </w:tr>
    </w:tbl>
    <w:p>
      <w:pPr>
        <w:pStyle w:val="Heading31"/>
      </w:pPr>
      <w:bookmarkEnd w:id="12"/>
      <w:bookmarkStart w:id="13" w:name="school-staff-survey"/>
      <w:r>
        <w:t>School Staff Survey</w:t>
      </w:r>
    </w:p>
    <w:p>
      <w:r>
        <w:t>The percentage endorsement by staff on School Climate, as reported in the annual School Staff Survey. Percentage endorsement indicates the percent of positive responses (agree or strongly agree) from staff who responded to the survey.</w:t>
      </w:r>
    </w:p>
    <w:tbl>
      <w:tblPr>
        <w:tblStyle w:val="TableNormal"/>
        <w:jc w:val="center"/>
        <w:tblLayout w:type="fixed"/>
        <w:tblLook w:val="0420"/>
      </w:tblPr>
      <w:tblGrid>
        <w:gridCol w:w="6048"/>
        <w:gridCol w:w="1728"/>
        <w:gridCol w:w="1008"/>
        <w:gridCol w:w="1440"/>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 positive endorsement School Climate (School Staff Survey)</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85.5%</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noChangeArrowheads="1"/>
                          </pic:cNvPicPr>
                        </pic:nvPicPr>
                        <pic:blipFill>
                          <a:blip xmlns:r="http://schemas.openxmlformats.org/officeDocument/2006/relationships" r:embed="rId18"/>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75.9%</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16056707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noChangeArrowheads="1"/>
                          </pic:cNvPicPr>
                        </pic:nvPicPr>
                        <pic:blipFill>
                          <a:blip xmlns:r="http://schemas.openxmlformats.org/officeDocument/2006/relationships" r:embed="rId16"/>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77.4%</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noChangeArrowheads="1"/>
                          </pic:cNvPicPr>
                        </pic:nvPicPr>
                        <pic:blipFill>
                          <a:blip xmlns:r="http://schemas.openxmlformats.org/officeDocument/2006/relationships" r:embed="rId19"/>
                          <a:stretch>
                            <a:fillRect/>
                          </a:stretch>
                        </pic:blipFill>
                        <pic:spPr bwMode="auto">
                          <a:xfrm>
                            <a:off x="0" y="0"/>
                            <a:ext cx="10160" cy="2540"/>
                          </a:xfrm>
                          <a:prstGeom prst="rect">
                            <a:avLst/>
                          </a:prstGeom>
                          <a:noFill/>
                        </pic:spPr>
                      </pic:pic>
                    </a:graphicData>
                  </a:graphic>
                </wp:inline>
              </w:drawing>
            </w:r>
          </w:p>
        </w:tc>
      </w:tr>
    </w:tbl>
    <w:p>
      <w:pPr>
        <w:pStyle w:val="Heading21"/>
      </w:pPr>
      <w:bookmarkEnd w:id="13"/>
      <w:bookmarkEnd w:id="9"/>
      <w:bookmarkStart w:id="14" w:name="learning"/>
      <w:r>
        <w:t>LEARNING</w:t>
      </w:r>
    </w:p>
    <w:p>
      <w:pPr>
        <w:pStyle w:val="Heading31"/>
      </w:pPr>
      <w:bookmarkStart w:id="15" w:name="Xd3002550eeab6e7db743681fe2e67981201cd7b"/>
      <w:r>
        <w:t>Teacher Judgement of student achievement against the Victorian Curriculum</w:t>
      </w:r>
    </w:p>
    <w:p>
      <w:r>
        <w:t>Percentage of students working at or above age expected standards in English and Mathematics.</w:t>
      </w:r>
    </w:p>
    <w:tbl>
      <w:tblPr>
        <w:tblStyle w:val="TableNormal"/>
        <w:jc w:val="center"/>
        <w:tblLayout w:type="fixed"/>
        <w:tblLook w:val="0420"/>
      </w:tblPr>
      <w:tblGrid>
        <w:gridCol w:w="6048"/>
        <w:gridCol w:w="1728"/>
        <w:gridCol w:w="1008"/>
        <w:gridCol w:w="1440"/>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English Prep - 6 % of students at or above age expected standards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82.7%</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a:picLocks noChangeAspect="1" noChangeArrowheads="1"/>
                          </pic:cNvPicPr>
                        </pic:nvPicPr>
                        <pic:blipFill>
                          <a:blip xmlns:r="http://schemas.openxmlformats.org/officeDocument/2006/relationships" r:embed="rId20"/>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83.2%</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a:picLocks noChangeAspect="1" noChangeArrowheads="1"/>
                          </pic:cNvPicPr>
                        </pic:nvPicPr>
                        <pic:blipFill>
                          <a:blip xmlns:r="http://schemas.openxmlformats.org/officeDocument/2006/relationships" r:embed="rId21"/>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86.3%</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a:picLocks noChangeAspect="1" noChangeArrowheads="1"/>
                          </pic:cNvPicPr>
                        </pic:nvPicPr>
                        <pic:blipFill>
                          <a:blip xmlns:r="http://schemas.openxmlformats.org/officeDocument/2006/relationships" r:embed="rId22"/>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Mathematics Prep - 6 % of students at or above age expected standards</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79.2%</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a:picLocks noChangeAspect="1" noChangeArrowheads="1"/>
                          </pic:cNvPicPr>
                        </pic:nvPicPr>
                        <pic:blipFill>
                          <a:blip xmlns:r="http://schemas.openxmlformats.org/officeDocument/2006/relationships" r:embed="rId23"/>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83.0%</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a:picLocks noChangeAspect="1" noChangeArrowheads="1"/>
                          </pic:cNvPicPr>
                        </pic:nvPicPr>
                        <pic:blipFill>
                          <a:blip xmlns:r="http://schemas.openxmlformats.org/officeDocument/2006/relationships" r:embed="rId21"/>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84.2%</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a:picLocks noChangeAspect="1" noChangeArrowheads="1"/>
                          </pic:cNvPicPr>
                        </pic:nvPicPr>
                        <pic:blipFill>
                          <a:blip xmlns:r="http://schemas.openxmlformats.org/officeDocument/2006/relationships" r:embed="rId24"/>
                          <a:stretch>
                            <a:fillRect/>
                          </a:stretch>
                        </pic:blipFill>
                        <pic:spPr bwMode="auto">
                          <a:xfrm>
                            <a:off x="0" y="0"/>
                            <a:ext cx="10160" cy="2540"/>
                          </a:xfrm>
                          <a:prstGeom prst="rect">
                            <a:avLst/>
                          </a:prstGeom>
                          <a:noFill/>
                        </pic:spPr>
                      </pic:pic>
                    </a:graphicData>
                  </a:graphic>
                </wp:inline>
              </w:drawing>
            </w:r>
          </w:p>
        </w:tc>
      </w:tr>
    </w:tbl>
    <w:p>
      <w:pPr>
        <w:pStyle w:val="Heading31"/>
      </w:pPr>
      <w:bookmarkEnd w:id="15"/>
      <w:bookmarkStart w:id="16" w:name="naplan"/>
      <w:r>
        <w:t>NAPLAN</w:t>
      </w:r>
    </w:p>
    <w:p>
      <w:r>
        <w:t>Percentage of students in the Strong or Exceeding proficiency levels in NAPLAN.</w:t>
      </w:r>
    </w:p>
    <w:tbl>
      <w:tblPr>
        <w:tblStyle w:val="TableNormal"/>
        <w:jc w:val="center"/>
        <w:tblLayout w:type="fixed"/>
        <w:tblLook w:val="0420"/>
      </w:tblPr>
      <w:tblGrid>
        <w:gridCol w:w="5040"/>
        <w:gridCol w:w="1728"/>
        <w:gridCol w:w="1008"/>
        <w:gridCol w:w="1440"/>
        <w:gridCol w:w="1008"/>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3-year average</w:t>
            </w: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Reading Year 3 % of students Strong or Exceeding proficiency levels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94.1%</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a:picLocks noChangeAspect="1" noChangeArrowheads="1"/>
                          </pic:cNvPicPr>
                        </pic:nvPicPr>
                        <pic:blipFill>
                          <a:blip xmlns:r="http://schemas.openxmlformats.org/officeDocument/2006/relationships" r:embed="rId15"/>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76.2%</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65.8%</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a:picLocks noChangeAspect="1" noChangeArrowheads="1"/>
                          </pic:cNvPicPr>
                        </pic:nvPicPr>
                        <pic:blipFill>
                          <a:blip xmlns:r="http://schemas.openxmlformats.org/officeDocument/2006/relationships" r:embed="rId25"/>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64.3%</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69.5%</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
                          <pic:cNvPicPr>
                            <a:picLocks noChangeAspect="1" noChangeArrowheads="1"/>
                          </pic:cNvPicPr>
                        </pic:nvPicPr>
                        <pic:blipFill>
                          <a:blip xmlns:r="http://schemas.openxmlformats.org/officeDocument/2006/relationships" r:embed="rId26"/>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69.3%</w:t>
            </w:r>
          </w:p>
        </w:tc>
      </w:tr>
      <w:tr>
        <w:tblPrEx>
          <w:jc w:val="center"/>
          <w:tblLayout w:type="fixed"/>
          <w:tblLook w:val="0420"/>
        </w:tblPrEx>
        <w:trPr>
          <w:trHeight w:hRule="auto" w:val="360"/>
          <w:jc w:val="center"/>
        </w:trPr>
        <w:tc>
          <w:tcPr>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Reading Year 5 % of students Strong or Exceeding proficiency levels</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52.6%</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a:picLocks noChangeAspect="1" noChangeArrowheads="1"/>
                          </pic:cNvPicPr>
                        </pic:nvPicPr>
                        <pic:blipFill>
                          <a:blip xmlns:r="http://schemas.openxmlformats.org/officeDocument/2006/relationships" r:embed="rId27"/>
                          <a:stretch>
                            <a:fillRect/>
                          </a:stretch>
                        </pic:blipFill>
                        <pic:spPr bwMode="auto">
                          <a:xfrm>
                            <a:off x="0" y="0"/>
                            <a:ext cx="10160" cy="2540"/>
                          </a:xfrm>
                          <a:prstGeom prst="rect">
                            <a:avLst/>
                          </a:prstGeom>
                          <a:noFill/>
                        </pic:spPr>
                      </pic:pic>
                    </a:graphicData>
                  </a:graphic>
                </wp:inline>
              </w:drawing>
            </w:r>
          </w:p>
        </w:tc>
        <w:tc>
          <w:tcPr>
            <w:tcBorders>
              <w:top w:val="single" w:sz="4" w:space="0" w:color="000000"/>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67.1%</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69.3%</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a:picLocks noChangeAspect="1" noChangeArrowheads="1"/>
                          </pic:cNvPicPr>
                        </pic:nvPicPr>
                        <pic:blipFill>
                          <a:blip xmlns:r="http://schemas.openxmlformats.org/officeDocument/2006/relationships" r:embed="rId28"/>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70.2%</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73.9%</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a:picLocks noChangeAspect="1" noChangeArrowheads="1"/>
                          </pic:cNvPicPr>
                        </pic:nvPicPr>
                        <pic:blipFill>
                          <a:blip xmlns:r="http://schemas.openxmlformats.org/officeDocument/2006/relationships" r:embed="rId29"/>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74.6%</w:t>
            </w:r>
          </w:p>
        </w:tc>
      </w:tr>
      <w:tr>
        <w:tblPrEx>
          <w:jc w:val="center"/>
          <w:tblLayout w:type="fixed"/>
          <w:tblLook w:val="0420"/>
        </w:tblPrEx>
        <w:trPr>
          <w:trHeight w:hRule="auto" w:val="360"/>
          <w:jc w:val="center"/>
        </w:trPr>
        <w:tc>
          <w:tcPr>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Numeracy Year 3 % of students Strong or Exceeding proficiency levels</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64.7%</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
                          <pic:cNvPicPr>
                            <a:picLocks noChangeAspect="1" noChangeArrowheads="1"/>
                          </pic:cNvPicPr>
                        </pic:nvPicPr>
                        <pic:blipFill>
                          <a:blip xmlns:r="http://schemas.openxmlformats.org/officeDocument/2006/relationships" r:embed="rId30"/>
                          <a:stretch>
                            <a:fillRect/>
                          </a:stretch>
                        </pic:blipFill>
                        <pic:spPr bwMode="auto">
                          <a:xfrm>
                            <a:off x="0" y="0"/>
                            <a:ext cx="10160" cy="2540"/>
                          </a:xfrm>
                          <a:prstGeom prst="rect">
                            <a:avLst/>
                          </a:prstGeom>
                          <a:noFill/>
                        </pic:spPr>
                      </pic:pic>
                    </a:graphicData>
                  </a:graphic>
                </wp:inline>
              </w:drawing>
            </w:r>
          </w:p>
        </w:tc>
        <w:tc>
          <w:tcPr>
            <w:tcBorders>
              <w:top w:val="single" w:sz="4" w:space="0" w:color="000000"/>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57.1%</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61.0%</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
                          <pic:cNvPicPr>
                            <a:picLocks noChangeAspect="1" noChangeArrowheads="1"/>
                          </pic:cNvPicPr>
                        </pic:nvPicPr>
                        <pic:blipFill>
                          <a:blip xmlns:r="http://schemas.openxmlformats.org/officeDocument/2006/relationships" r:embed="rId31"/>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61.2%</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66.2%</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
                          <pic:cNvPicPr>
                            <a:picLocks noChangeAspect="1" noChangeArrowheads="1"/>
                          </pic:cNvPicPr>
                        </pic:nvPicPr>
                        <pic:blipFill>
                          <a:blip xmlns:r="http://schemas.openxmlformats.org/officeDocument/2006/relationships" r:embed="rId32"/>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66.4%</w:t>
            </w:r>
          </w:p>
        </w:tc>
      </w:tr>
      <w:tr>
        <w:tblPrEx>
          <w:jc w:val="center"/>
          <w:tblLayout w:type="fixed"/>
          <w:tblLook w:val="0420"/>
        </w:tblPrEx>
        <w:trPr>
          <w:trHeight w:hRule="auto" w:val="360"/>
          <w:jc w:val="center"/>
        </w:trPr>
        <w:tc>
          <w:tcPr>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Numeracy Year 5 % of students Strong or Exceeding proficiency levels</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47.4%</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
                          <pic:cNvPicPr>
                            <a:picLocks noChangeAspect="1" noChangeArrowheads="1"/>
                          </pic:cNvPicPr>
                        </pic:nvPicPr>
                        <pic:blipFill>
                          <a:blip xmlns:r="http://schemas.openxmlformats.org/officeDocument/2006/relationships" r:embed="rId33"/>
                          <a:stretch>
                            <a:fillRect/>
                          </a:stretch>
                        </pic:blipFill>
                        <pic:spPr bwMode="auto">
                          <a:xfrm>
                            <a:off x="0" y="0"/>
                            <a:ext cx="10160" cy="2540"/>
                          </a:xfrm>
                          <a:prstGeom prst="rect">
                            <a:avLst/>
                          </a:prstGeom>
                          <a:noFill/>
                        </pic:spPr>
                      </pic:pic>
                    </a:graphicData>
                  </a:graphic>
                </wp:inline>
              </w:drawing>
            </w:r>
          </w:p>
        </w:tc>
        <w:tc>
          <w:tcPr>
            <w:tcBorders>
              <w:top w:val="single" w:sz="4" w:space="0" w:color="000000"/>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54.9%</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63.7%</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
                          <pic:cNvPicPr>
                            <a:picLocks noChangeAspect="1" noChangeArrowheads="1"/>
                          </pic:cNvPicPr>
                        </pic:nvPicPr>
                        <pic:blipFill>
                          <a:blip xmlns:r="http://schemas.openxmlformats.org/officeDocument/2006/relationships" r:embed="rId34"/>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62.2%</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69.1%</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
                          <pic:cNvPicPr>
                            <a:picLocks noChangeAspect="1" noChangeArrowheads="1"/>
                          </pic:cNvPicPr>
                        </pic:nvPicPr>
                        <pic:blipFill>
                          <a:blip xmlns:r="http://schemas.openxmlformats.org/officeDocument/2006/relationships" r:embed="rId26"/>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68.1%</w:t>
            </w:r>
          </w:p>
        </w:tc>
      </w:tr>
    </w:tbl>
    <w:p>
      <w:pPr>
        <w:pStyle w:val="Heading31"/>
      </w:pPr>
      <w:bookmarkEnd w:id="16"/>
      <w:bookmarkStart w:id="17" w:name="naplan-relative-growth"/>
      <w:r>
        <w:t>NAPLAN relative growth</w:t>
      </w:r>
    </w:p>
    <w:p>
      <w:r>
        <w:t>The percentage of students in the High and Medium relative growth categories.</w:t>
      </w:r>
    </w:p>
    <w:p>
      <w:r>
        <w:t>Relative growth is determined by comparing a student’s current year result relative to the results of all</w:t>
      </w:r>
      <w:r>
        <w:t xml:space="preserve"> </w:t>
      </w:r>
      <w:r>
        <w:t>‘similar’</w:t>
      </w:r>
      <w:r>
        <w:t xml:space="preserve"> </w:t>
      </w:r>
      <w:r>
        <w:t>Victorian students (i.e., students in all sectors in the same year level who had the same score two years prior). If the current year result is in the top 25 percent, their gain level is categorised as</w:t>
      </w:r>
      <w:r>
        <w:t xml:space="preserve"> </w:t>
      </w:r>
      <w:r>
        <w:t>‘High’</w:t>
      </w:r>
      <w:r>
        <w:t>; middle 50 percent is</w:t>
      </w:r>
      <w:r>
        <w:t xml:space="preserve"> </w:t>
      </w:r>
      <w:r>
        <w:t>‘Medium’</w:t>
      </w:r>
      <w:r>
        <w:t>; bottom 25 percent is</w:t>
      </w:r>
      <w:r>
        <w:t xml:space="preserve"> </w:t>
      </w:r>
      <w:r>
        <w:t>‘Low’</w:t>
      </w:r>
      <w:r>
        <w:t>.</w:t>
      </w:r>
    </w:p>
    <w:p>
      <w:r>
        <w:t>A multi-year average for NAPLAN relative growth will be included in future years as data becomes available.</w:t>
      </w:r>
    </w:p>
    <w:tbl>
      <w:tblPr>
        <w:tblStyle w:val="TableNormal"/>
        <w:jc w:val="center"/>
        <w:tblLayout w:type="fixed"/>
        <w:tblLook w:val="0420"/>
      </w:tblPr>
      <w:tblGrid>
        <w:gridCol w:w="6048"/>
        <w:gridCol w:w="1728"/>
        <w:gridCol w:w="1008"/>
        <w:gridCol w:w="1440"/>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Reading Year 3 to 5 % of students High or Medium relative growth</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68.8%</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
                          <pic:cNvPicPr>
                            <a:picLocks noChangeAspect="1" noChangeArrowheads="1"/>
                          </pic:cNvPicPr>
                        </pic:nvPicPr>
                        <pic:blipFill>
                          <a:blip xmlns:r="http://schemas.openxmlformats.org/officeDocument/2006/relationships" r:embed="rId35"/>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73.3%</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
                          <pic:cNvPicPr>
                            <a:picLocks noChangeAspect="1" noChangeArrowheads="1"/>
                          </pic:cNvPicPr>
                        </pic:nvPicPr>
                        <pic:blipFill>
                          <a:blip xmlns:r="http://schemas.openxmlformats.org/officeDocument/2006/relationships" r:embed="rId36"/>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74.7%</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
                          <pic:cNvPicPr>
                            <a:picLocks noChangeAspect="1" noChangeArrowheads="1"/>
                          </pic:cNvPicPr>
                        </pic:nvPicPr>
                        <pic:blipFill>
                          <a:blip xmlns:r="http://schemas.openxmlformats.org/officeDocument/2006/relationships" r:embed="rId29"/>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Numeracy Year 3 to 5 % of students High or Medium relative growth</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81.2%</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
                          <pic:cNvPicPr>
                            <a:picLocks noChangeAspect="1" noChangeArrowheads="1"/>
                          </pic:cNvPicPr>
                        </pic:nvPicPr>
                        <pic:blipFill>
                          <a:blip xmlns:r="http://schemas.openxmlformats.org/officeDocument/2006/relationships" r:embed="rId37"/>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71.1%</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
                          <pic:cNvPicPr>
                            <a:picLocks noChangeAspect="1" noChangeArrowheads="1"/>
                          </pic:cNvPicPr>
                        </pic:nvPicPr>
                        <pic:blipFill>
                          <a:blip xmlns:r="http://schemas.openxmlformats.org/officeDocument/2006/relationships" r:embed="rId38"/>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74.0%</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
                          <pic:cNvPicPr>
                            <a:picLocks noChangeAspect="1" noChangeArrowheads="1"/>
                          </pic:cNvPicPr>
                        </pic:nvPicPr>
                        <pic:blipFill>
                          <a:blip xmlns:r="http://schemas.openxmlformats.org/officeDocument/2006/relationships" r:embed="rId29"/>
                          <a:stretch>
                            <a:fillRect/>
                          </a:stretch>
                        </pic:blipFill>
                        <pic:spPr bwMode="auto">
                          <a:xfrm>
                            <a:off x="0" y="0"/>
                            <a:ext cx="10160" cy="2540"/>
                          </a:xfrm>
                          <a:prstGeom prst="rect">
                            <a:avLst/>
                          </a:prstGeom>
                          <a:noFill/>
                        </pic:spPr>
                      </pic:pic>
                    </a:graphicData>
                  </a:graphic>
                </wp:inline>
              </w:drawing>
            </w:r>
          </w:p>
        </w:tc>
      </w:tr>
    </w:tbl>
    <w:p>
      <w:r>
        <w:br w:type="page"/>
      </w:r>
    </w:p>
    <w:p>
      <w:pPr>
        <w:pStyle w:val="Heading21"/>
      </w:pPr>
      <w:bookmarkEnd w:id="17"/>
      <w:bookmarkEnd w:id="14"/>
      <w:bookmarkStart w:id="18" w:name="wellbeing"/>
      <w:r>
        <w:t>WELLBEING</w:t>
      </w:r>
    </w:p>
    <w:p>
      <w:pPr>
        <w:pStyle w:val="Heading31"/>
      </w:pPr>
      <w:bookmarkStart w:id="19" w:name="X4f312c496442aa9386762e79446d80aa9d20262"/>
      <w:r>
        <w:t>Student Attitudes to School – Sense of Connectedness</w:t>
      </w:r>
    </w:p>
    <w:p>
      <w:r>
        <w:t>The percentage endorsement on Sense of Connectedness factor, as reported in the Attitudes to School Survey completed annually by Victorian government school students, indicates the percent of positive responses (agree or strongly agree).</w:t>
      </w:r>
    </w:p>
    <w:tbl>
      <w:tblPr>
        <w:tblStyle w:val="TableNormal"/>
        <w:jc w:val="center"/>
        <w:tblLayout w:type="fixed"/>
        <w:tblLook w:val="0420"/>
      </w:tblPr>
      <w:tblGrid>
        <w:gridCol w:w="5040"/>
        <w:gridCol w:w="1728"/>
        <w:gridCol w:w="1008"/>
        <w:gridCol w:w="1440"/>
        <w:gridCol w:w="1008"/>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4-year average</w:t>
            </w: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Years 4 to 6 % positive endorsement</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77.9%</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
                          <pic:cNvPicPr>
                            <a:picLocks noChangeAspect="1" noChangeArrowheads="1"/>
                          </pic:cNvPicPr>
                        </pic:nvPicPr>
                        <pic:blipFill>
                          <a:blip xmlns:r="http://schemas.openxmlformats.org/officeDocument/2006/relationships" r:embed="rId39"/>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79.3%</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76.3%</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
                          <pic:cNvPicPr>
                            <a:picLocks noChangeAspect="1" noChangeArrowheads="1"/>
                          </pic:cNvPicPr>
                        </pic:nvPicPr>
                        <pic:blipFill>
                          <a:blip xmlns:r="http://schemas.openxmlformats.org/officeDocument/2006/relationships" r:embed="rId16"/>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75.1%</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77.1%</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
                          <pic:cNvPicPr>
                            <a:picLocks noChangeAspect="1" noChangeArrowheads="1"/>
                          </pic:cNvPicPr>
                        </pic:nvPicPr>
                        <pic:blipFill>
                          <a:blip xmlns:r="http://schemas.openxmlformats.org/officeDocument/2006/relationships" r:embed="rId40"/>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77.3%</w:t>
            </w:r>
          </w:p>
        </w:tc>
      </w:tr>
    </w:tbl>
    <w:p>
      <w:pPr>
        <w:pStyle w:val="Heading31"/>
      </w:pPr>
      <w:bookmarkEnd w:id="19"/>
      <w:bookmarkStart w:id="20" w:name="X6b86cdeac7af42d7b3a46c94b02d37acd34cd49"/>
      <w:r>
        <w:t>Student Attitudes to School – Managing Bullying</w:t>
      </w:r>
    </w:p>
    <w:p>
      <w:r>
        <w:t>The percentage endorsement on Management of Bullying factor, as reported in the Attitudes to School Survey completed annually by Victorian government school students, indicates the percent of positive responses (agree or strongly agree).</w:t>
      </w:r>
    </w:p>
    <w:tbl>
      <w:tblPr>
        <w:tblStyle w:val="TableNormal"/>
        <w:jc w:val="center"/>
        <w:tblLayout w:type="fixed"/>
        <w:tblLook w:val="0420"/>
      </w:tblPr>
      <w:tblGrid>
        <w:gridCol w:w="5040"/>
        <w:gridCol w:w="1728"/>
        <w:gridCol w:w="1008"/>
        <w:gridCol w:w="1440"/>
        <w:gridCol w:w="1008"/>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4-year average</w:t>
            </w: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Years 4 to 6 % positive endorsement</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81.3%</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
                          <pic:cNvPicPr>
                            <a:picLocks noChangeAspect="1" noChangeArrowheads="1"/>
                          </pic:cNvPicPr>
                        </pic:nvPicPr>
                        <pic:blipFill>
                          <a:blip xmlns:r="http://schemas.openxmlformats.org/officeDocument/2006/relationships" r:embed="rId37"/>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76.3%</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77.6%</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6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
                          <pic:cNvPicPr>
                            <a:picLocks noChangeAspect="1" noChangeArrowheads="1"/>
                          </pic:cNvPicPr>
                        </pic:nvPicPr>
                        <pic:blipFill>
                          <a:blip xmlns:r="http://schemas.openxmlformats.org/officeDocument/2006/relationships" r:embed="rId41"/>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75.2%</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76.4%</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
                          <pic:cNvPicPr>
                            <a:picLocks noChangeAspect="1" noChangeArrowheads="1"/>
                          </pic:cNvPicPr>
                        </pic:nvPicPr>
                        <pic:blipFill>
                          <a:blip xmlns:r="http://schemas.openxmlformats.org/officeDocument/2006/relationships" r:embed="rId40"/>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75.8%</w:t>
            </w:r>
          </w:p>
        </w:tc>
      </w:tr>
    </w:tbl>
    <w:p>
      <w:r>
        <w:br w:type="page"/>
      </w:r>
    </w:p>
    <w:p>
      <w:pPr>
        <w:pStyle w:val="Heading21"/>
      </w:pPr>
      <w:bookmarkEnd w:id="20"/>
      <w:bookmarkEnd w:id="18"/>
      <w:bookmarkStart w:id="21" w:name="engagement"/>
      <w:r>
        <w:t>ENGAGEMENT</w:t>
      </w:r>
    </w:p>
    <w:p>
      <w:pPr>
        <w:pStyle w:val="Heading31"/>
      </w:pPr>
      <w:bookmarkStart w:id="22" w:name="average-absence-days-per-student"/>
      <w:r>
        <w:t>Average absence days per student</w:t>
      </w:r>
    </w:p>
    <w:p>
      <w:r>
        <w:t>Absence from school can impact on students’ learning. Common reasons for non-attendance include illness and extended family holidays.</w:t>
      </w:r>
    </w:p>
    <w:tbl>
      <w:tblPr>
        <w:tblStyle w:val="TableNormal"/>
        <w:jc w:val="center"/>
        <w:tblLayout w:type="fixed"/>
        <w:tblLook w:val="0420"/>
      </w:tblPr>
      <w:tblGrid>
        <w:gridCol w:w="5040"/>
        <w:gridCol w:w="1728"/>
        <w:gridCol w:w="1008"/>
        <w:gridCol w:w="1440"/>
        <w:gridCol w:w="1008"/>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4-year average</w:t>
            </w: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Prep - 6</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22.9</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
                          <pic:cNvPicPr>
                            <a:picLocks noChangeAspect="1" noChangeArrowheads="1"/>
                          </pic:cNvPicPr>
                        </pic:nvPicPr>
                        <pic:blipFill>
                          <a:blip xmlns:r="http://schemas.openxmlformats.org/officeDocument/2006/relationships" r:embed="rId42"/>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21.1</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22.2</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
                          <pic:cNvPicPr>
                            <a:picLocks noChangeAspect="1" noChangeArrowheads="1"/>
                          </pic:cNvPicPr>
                        </pic:nvPicPr>
                        <pic:blipFill>
                          <a:blip xmlns:r="http://schemas.openxmlformats.org/officeDocument/2006/relationships" r:embed="rId42"/>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22.6</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21.5</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
                          <pic:cNvPicPr>
                            <a:picLocks noChangeAspect="1" noChangeArrowheads="1"/>
                          </pic:cNvPicPr>
                        </pic:nvPicPr>
                        <pic:blipFill>
                          <a:blip xmlns:r="http://schemas.openxmlformats.org/officeDocument/2006/relationships" r:embed="rId42"/>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21.7</w:t>
            </w:r>
          </w:p>
        </w:tc>
      </w:tr>
    </w:tbl>
    <w:p>
      <w:pPr>
        <w:pStyle w:val="Heading31"/>
      </w:pPr>
      <w:bookmarkEnd w:id="22"/>
      <w:bookmarkStart w:id="23" w:name="attendance-rate"/>
      <w:r>
        <w:t>Attendance rate</w:t>
      </w:r>
    </w:p>
    <w:p>
      <w:r>
        <w:t>Attendance rate refers to the average proportion of formal school days students in each year level attended.</w:t>
      </w:r>
    </w:p>
    <w:tbl>
      <w:tblPr>
        <w:tblStyle w:val="TableNormal"/>
        <w:jc w:val="center"/>
        <w:tblLayout w:type="fixed"/>
        <w:tblLook w:val="0420"/>
      </w:tblPr>
      <w:tblGrid>
        <w:gridCol w:w="6048"/>
        <w:gridCol w:w="1728"/>
        <w:gridCol w:w="1008"/>
        <w:gridCol w:w="1440"/>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r>
      <w:tr>
        <w:tblPrEx>
          <w:jc w:val="center"/>
          <w:tblLayout w:type="fixed"/>
          <w:tblLook w:val="0420"/>
        </w:tblPrEx>
        <w:trPr>
          <w:trHeight w:hRule="auto" w:val="360"/>
          <w:jc w:val="center"/>
        </w:trPr>
        <w:tc>
          <w:tcPr>
            <w:tcBorders>
              <w:top w:val="nil"/>
              <w:left w:val="nil"/>
              <w:bottom w:val="nil"/>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Prep</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86.0%</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
                          <pic:cNvPicPr>
                            <a:picLocks noChangeAspect="1" noChangeArrowheads="1"/>
                          </pic:cNvPicPr>
                        </pic:nvPicPr>
                        <pic:blipFill>
                          <a:blip xmlns:r="http://schemas.openxmlformats.org/officeDocument/2006/relationships" r:embed="rId43"/>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tcBorders>
              <w:top w:val="nil"/>
              <w:left w:val="nil"/>
              <w:bottom w:val="nil"/>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 1</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90.7%</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
                          <pic:cNvPicPr>
                            <a:picLocks noChangeAspect="1" noChangeArrowheads="1"/>
                          </pic:cNvPicPr>
                        </pic:nvPicPr>
                        <pic:blipFill>
                          <a:blip xmlns:r="http://schemas.openxmlformats.org/officeDocument/2006/relationships" r:embed="rId44"/>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tcBorders>
              <w:top w:val="nil"/>
              <w:left w:val="nil"/>
              <w:bottom w:val="nil"/>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 2</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86.8%</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
                          <pic:cNvPicPr>
                            <a:picLocks noChangeAspect="1" noChangeArrowheads="1"/>
                          </pic:cNvPicPr>
                        </pic:nvPicPr>
                        <pic:blipFill>
                          <a:blip xmlns:r="http://schemas.openxmlformats.org/officeDocument/2006/relationships" r:embed="rId43"/>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tcBorders>
              <w:top w:val="nil"/>
              <w:left w:val="nil"/>
              <w:bottom w:val="nil"/>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 3</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88.8%</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
                          <pic:cNvPicPr>
                            <a:picLocks noChangeAspect="1" noChangeArrowheads="1"/>
                          </pic:cNvPicPr>
                        </pic:nvPicPr>
                        <pic:blipFill>
                          <a:blip xmlns:r="http://schemas.openxmlformats.org/officeDocument/2006/relationships" r:embed="rId45"/>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tcBorders>
              <w:top w:val="nil"/>
              <w:left w:val="nil"/>
              <w:bottom w:val="nil"/>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 4</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88.8%</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8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
                          <pic:cNvPicPr>
                            <a:picLocks noChangeAspect="1" noChangeArrowheads="1"/>
                          </pic:cNvPicPr>
                        </pic:nvPicPr>
                        <pic:blipFill>
                          <a:blip xmlns:r="http://schemas.openxmlformats.org/officeDocument/2006/relationships" r:embed="rId45"/>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tcBorders>
              <w:top w:val="nil"/>
              <w:left w:val="nil"/>
              <w:bottom w:val="nil"/>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 5</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88.3%</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
                          <pic:cNvPicPr>
                            <a:picLocks noChangeAspect="1" noChangeArrowheads="1"/>
                          </pic:cNvPicPr>
                        </pic:nvPicPr>
                        <pic:blipFill>
                          <a:blip xmlns:r="http://schemas.openxmlformats.org/officeDocument/2006/relationships" r:embed="rId45"/>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 6</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87.7%</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
                          <pic:cNvPicPr>
                            <a:picLocks noChangeAspect="1" noChangeArrowheads="1"/>
                          </pic:cNvPicPr>
                        </pic:nvPicPr>
                        <pic:blipFill>
                          <a:blip xmlns:r="http://schemas.openxmlformats.org/officeDocument/2006/relationships" r:embed="rId43"/>
                          <a:stretch>
                            <a:fillRect/>
                          </a:stretch>
                        </pic:blipFill>
                        <pic:spPr bwMode="auto">
                          <a:xfrm>
                            <a:off x="0" y="0"/>
                            <a:ext cx="10160" cy="2540"/>
                          </a:xfrm>
                          <a:prstGeom prst="rect">
                            <a:avLst/>
                          </a:prstGeom>
                          <a:noFill/>
                        </pic:spPr>
                      </pic:pic>
                    </a:graphicData>
                  </a:graphic>
                </wp:inline>
              </w:drawing>
            </w:r>
          </w:p>
        </w:tc>
      </w:tr>
    </w:tbl>
    <w:p>
      <w:r>
        <w:br w:type="page"/>
      </w:r>
    </w:p>
    <w:p>
      <w:pPr>
        <w:pStyle w:val="Heading11"/>
      </w:pPr>
      <w:bookmarkEnd w:id="23"/>
      <w:bookmarkEnd w:id="21"/>
      <w:bookmarkEnd w:id="8"/>
      <w:bookmarkStart w:id="24" w:name="financial-performance-and-position"/>
      <w:r>
        <w:t>FINANCIAL PERFORMANCE AND POSITION</w:t>
      </w:r>
    </w:p>
    <w:p>
      <w:pPr>
        <w:pStyle w:val="Heading21"/>
      </w:pPr>
      <w:bookmarkStart w:id="25" w:name="X783dfaa01abb5b9bede6e86f0b21a1e5c51f7c7"/>
      <w:r>
        <w:t>FINANCIAL PERFORMANCE - OPERATING STATEMENT SUMMARY FOR THE YEAR ENDING 31 DECEMBER 2025</w:t>
      </w:r>
    </w:p>
    <w:p>
      <w:r>
        <w:t>Financial figures are as of 18 March 2026.</w:t>
      </w:r>
    </w:p>
    <w:tbl>
      <w:tblPr>
        <w:tblStyle w:val="TableNormal"/>
        <w:jc w:val="center"/>
        <w:tblLayout w:type="fixed"/>
        <w:tblLook w:val="0420"/>
      </w:tblPr>
      <w:tblGrid>
        <w:gridCol w:w="7632"/>
        <w:gridCol w:w="2592"/>
      </w:tblGrid>
      <w:tr>
        <w:tblPrEx>
          <w:jc w:val="center"/>
          <w:tblLayout w:type="fixed"/>
          <w:tblLook w:val="0420"/>
        </w:tblPrEx>
        <w:trPr>
          <w:trHeight w:hRule="auto" w:val="297"/>
          <w:tblHeader/>
          <w:jc w:val="center"/>
        </w:trPr>
        <w:tc>
          <w:tcPr>
            <w:tcBorders>
              <w:top w:val="nil"/>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Revenue</w:t>
            </w:r>
          </w:p>
        </w:tc>
        <w:tc>
          <w:tcPr>
            <w:tcBorders>
              <w:top w:val="nil"/>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Actual</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Student Resource Package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$2,477,781</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Government Provided DET Grants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$302,914</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Government Grants Commonwealth</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$10,706</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Government Grants State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$75,682</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Revenue Other</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$25,563</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Locally Raised Funds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$119,914</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Capital Grants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Total Operating Revenue</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$3,012,561</w:t>
            </w:r>
          </w:p>
        </w:tc>
      </w:tr>
    </w:tbl>
    <w:p>
      <w:r>
        <w:t> </w:t>
      </w:r>
    </w:p>
    <w:tbl>
      <w:tblPr>
        <w:tblStyle w:val="TableNormal"/>
        <w:jc w:val="center"/>
        <w:tblLayout w:type="fixed"/>
        <w:tblLook w:val="0420"/>
      </w:tblPr>
      <w:tblGrid>
        <w:gridCol w:w="7632"/>
        <w:gridCol w:w="2592"/>
      </w:tblGrid>
      <w:tr>
        <w:tblPrEx>
          <w:jc w:val="center"/>
          <w:tblLayout w:type="fixed"/>
          <w:tblLook w:val="0420"/>
        </w:tblPrEx>
        <w:trPr>
          <w:trHeight w:hRule="auto" w:val="337"/>
          <w:tblHeader/>
          <w:jc w:val="center"/>
        </w:trPr>
        <w:tc>
          <w:tcPr>
            <w:tcBorders>
              <w:top w:val="nil"/>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Equity</w:t>
            </w:r>
          </w:p>
        </w:tc>
        <w:tc>
          <w:tcPr>
            <w:tcBorders>
              <w:top w:val="nil"/>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Actual</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Equity (Social Disadvantage)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$67,267</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Equity (Catch Up)</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Equity (Social Disadvantage - Extraordinary Growth)</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Equity Total</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$67,267</w:t>
            </w:r>
          </w:p>
        </w:tc>
      </w:tr>
      <w:tr>
        <w:tblPrEx>
          <w:jc w:val="center"/>
          <w:tblLayout w:type="fixed"/>
          <w:tblLook w:val="0420"/>
        </w:tblPrEx>
        <w:trPr>
          <w:trHeight w:hRule="auto" w:val="360"/>
          <w:jc w:val="center"/>
        </w:trPr>
        <w:tc>
          <w:tcPr>
            <w:gridSpan w:val="2"/>
            <w:tcBorders>
              <w:top w:val="single" w:sz="4" w:space="0" w:color="000000"/>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The equity funding reported above is a subset of the overall revenue reported by the school.</w:t>
            </w:r>
          </w:p>
        </w:tc>
      </w:tr>
    </w:tbl>
    <w:p>
      <w:r>
        <w:t> </w:t>
      </w:r>
    </w:p>
    <w:tbl>
      <w:tblPr>
        <w:tblStyle w:val="TableNormal"/>
        <w:jc w:val="center"/>
        <w:tblLayout w:type="fixed"/>
        <w:tblLook w:val="0420"/>
      </w:tblPr>
      <w:tblGrid>
        <w:gridCol w:w="7632"/>
        <w:gridCol w:w="2592"/>
      </w:tblGrid>
      <w:tr>
        <w:tblPrEx>
          <w:jc w:val="center"/>
          <w:tblLayout w:type="fixed"/>
          <w:tblLook w:val="0420"/>
        </w:tblPrEx>
        <w:trPr>
          <w:trHeight w:hRule="auto" w:val="334"/>
          <w:tblHeader/>
          <w:jc w:val="center"/>
        </w:trPr>
        <w:tc>
          <w:tcPr>
            <w:tcBorders>
              <w:top w:val="nil"/>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Expenditure</w:t>
            </w:r>
          </w:p>
        </w:tc>
        <w:tc>
          <w:tcPr>
            <w:tcBorders>
              <w:top w:val="nil"/>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Actual</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Student Resource Package</w:t>
            </w:r>
            <w:r>
              <w:rPr>
                <w:rFonts w:ascii="Arial" w:eastAsia="Arial" w:hAnsi="Arial" w:cs="Arial"/>
                <w:b w:val="0"/>
                <w:i w:val="0"/>
                <w:strike w:val="0"/>
                <w:color w:val="000000"/>
                <w:sz w:val="20"/>
                <w:szCs w:val="20"/>
                <w:u w:val="none"/>
                <w:vertAlign w:val="superscript"/>
              </w:rPr>
              <w:t>1</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$2,433,067</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Adjustments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Books &amp; Publications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$1,210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Camps/Excursions/Activities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$53,192</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Communication Costs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$3,524</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Consumables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$19,919</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Miscellaneous Expenses</w:t>
            </w:r>
            <w:r>
              <w:rPr>
                <w:rFonts w:ascii="Arial" w:eastAsia="Arial" w:hAnsi="Arial" w:cs="Arial"/>
                <w:b w:val="0"/>
                <w:i w:val="0"/>
                <w:strike w:val="0"/>
                <w:color w:val="000000"/>
                <w:sz w:val="20"/>
                <w:szCs w:val="20"/>
                <w:u w:val="none"/>
                <w:vertAlign w:val="superscript"/>
              </w:rPr>
              <w:t>2</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$10,646</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Agency Staff</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$13,954</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Professional Development</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$11,200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Equipment/Maintenance/Hire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$28,410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Property Services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$82,331</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Salaries &amp; Allowances</w:t>
            </w:r>
            <w:r>
              <w:rPr>
                <w:rFonts w:ascii="Arial" w:eastAsia="Arial" w:hAnsi="Arial" w:cs="Arial"/>
                <w:b w:val="0"/>
                <w:i w:val="0"/>
                <w:strike w:val="0"/>
                <w:color w:val="000000"/>
                <w:sz w:val="20"/>
                <w:szCs w:val="20"/>
                <w:u w:val="none"/>
                <w:vertAlign w:val="superscript"/>
              </w:rPr>
              <w:t>3</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$161,136</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Support Services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$38,591</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Trading &amp; Fundraising</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$15,141</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Motor Vehicle Expenses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Travel &amp; Subsistence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Utilities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$21,871</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Total Operating Expenditure</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$2,894,190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Net Operating Surplus/-Deficit</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$118,371</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Asset Acquisitions</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$156,379</w:t>
            </w:r>
          </w:p>
        </w:tc>
      </w:tr>
      <w:tr>
        <w:tblPrEx>
          <w:jc w:val="center"/>
          <w:tblLayout w:type="fixed"/>
          <w:tblLook w:val="0420"/>
        </w:tblPrEx>
        <w:trPr>
          <w:trHeight w:hRule="auto" w:val="360"/>
          <w:jc w:val="center"/>
        </w:trPr>
        <w:tc>
          <w:tcPr>
            <w:gridSpan w:val="2"/>
            <w:tcBorders>
              <w:top w:val="single" w:sz="4" w:space="0" w:color="000000"/>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vertAlign w:val="superscript"/>
              </w:rPr>
              <w:t>1</w:t>
            </w:r>
            <w:r>
              <w:rPr>
                <w:rFonts w:ascii="Arial" w:eastAsia="Arial" w:hAnsi="Arial" w:cs="Arial"/>
                <w:b w:val="0"/>
                <w:i w:val="0"/>
                <w:strike w:val="0"/>
                <w:color w:val="000000"/>
                <w:sz w:val="20"/>
                <w:szCs w:val="20"/>
                <w:u w:val="none"/>
              </w:rPr>
              <w:t xml:space="preserve"> </w:t>
            </w:r>
            <w:r>
              <w:rPr>
                <w:rFonts w:ascii="Arial" w:eastAsia="Arial" w:hAnsi="Arial" w:cs="Arial"/>
                <w:b w:val="0"/>
                <w:i w:val="0"/>
                <w:strike w:val="0"/>
                <w:color w:val="000000"/>
                <w:sz w:val="20"/>
                <w:szCs w:val="20"/>
                <w:u w:val="none"/>
              </w:rPr>
              <w:t>Student Resource Package Expenditure figures are subject to change during the reconciliation process.</w:t>
            </w:r>
          </w:p>
        </w:tc>
      </w:tr>
      <w:tr>
        <w:tblPrEx>
          <w:jc w:val="center"/>
          <w:tblLayout w:type="fixed"/>
          <w:tblLook w:val="0420"/>
        </w:tblPrEx>
        <w:trPr>
          <w:trHeight w:hRule="auto" w:val="360"/>
          <w:jc w:val="center"/>
        </w:trPr>
        <w:tc>
          <w:tcPr>
            <w:gridSpan w:val="2"/>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vertAlign w:val="superscript"/>
              </w:rPr>
              <w:t>2</w:t>
            </w:r>
            <w:r>
              <w:rPr>
                <w:rFonts w:ascii="Arial" w:eastAsia="Arial" w:hAnsi="Arial" w:cs="Arial"/>
                <w:b w:val="0"/>
                <w:i w:val="0"/>
                <w:strike w:val="0"/>
                <w:color w:val="000000"/>
                <w:sz w:val="20"/>
                <w:szCs w:val="20"/>
                <w:u w:val="none"/>
              </w:rPr>
              <w:t xml:space="preserve"> </w:t>
            </w:r>
            <w:r>
              <w:rPr>
                <w:rFonts w:ascii="Arial" w:eastAsia="Arial" w:hAnsi="Arial" w:cs="Arial"/>
                <w:b w:val="0"/>
                <w:i w:val="0"/>
                <w:strike w:val="0"/>
                <w:color w:val="000000"/>
                <w:sz w:val="20"/>
                <w:szCs w:val="20"/>
                <w:u w:val="none"/>
              </w:rPr>
              <w:t>Miscellaneous Expenses include bank charges, administration expenses, insurance and taxation charges.</w:t>
            </w:r>
          </w:p>
        </w:tc>
      </w:tr>
      <w:tr>
        <w:tblPrEx>
          <w:jc w:val="center"/>
          <w:tblLayout w:type="fixed"/>
          <w:tblLook w:val="0420"/>
        </w:tblPrEx>
        <w:trPr>
          <w:trHeight w:hRule="auto" w:val="360"/>
          <w:jc w:val="center"/>
        </w:trPr>
        <w:tc>
          <w:tcPr>
            <w:gridSpan w:val="2"/>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vertAlign w:val="superscript"/>
              </w:rPr>
              <w:t>3</w:t>
            </w:r>
            <w:r>
              <w:rPr>
                <w:rFonts w:ascii="Arial" w:eastAsia="Arial" w:hAnsi="Arial" w:cs="Arial"/>
                <w:b w:val="0"/>
                <w:i w:val="0"/>
                <w:strike w:val="0"/>
                <w:color w:val="000000"/>
                <w:sz w:val="20"/>
                <w:szCs w:val="20"/>
                <w:u w:val="none"/>
              </w:rPr>
              <w:t xml:space="preserve"> </w:t>
            </w:r>
            <w:r>
              <w:rPr>
                <w:rFonts w:ascii="Arial" w:eastAsia="Arial" w:hAnsi="Arial" w:cs="Arial"/>
                <w:b w:val="0"/>
                <w:i w:val="0"/>
                <w:strike w:val="0"/>
                <w:color w:val="000000"/>
                <w:sz w:val="20"/>
                <w:szCs w:val="20"/>
                <w:u w:val="none"/>
              </w:rPr>
              <w:t>Salaries and Allowances refers to school-level payroll.</w:t>
            </w:r>
          </w:p>
        </w:tc>
      </w:tr>
    </w:tbl>
    <w:p>
      <w:r>
        <w:t> </w:t>
      </w:r>
    </w:p>
    <w:p>
      <w:r>
        <w:br w:type="page"/>
      </w:r>
    </w:p>
    <w:p>
      <w:pPr>
        <w:pStyle w:val="Heading21"/>
      </w:pPr>
      <w:bookmarkEnd w:id="25"/>
      <w:bookmarkStart w:id="26" w:name="X27daf5a77578665f4d1993912609976214eb793"/>
      <w:r>
        <w:t>FINANCIAL POSITION AS AT 31 DECEMBER 2025</w:t>
      </w:r>
    </w:p>
    <w:tbl>
      <w:tblPr>
        <w:tblStyle w:val="TableNormal"/>
        <w:jc w:val="center"/>
        <w:tblLayout w:type="fixed"/>
        <w:tblLook w:val="0420"/>
      </w:tblPr>
      <w:tblGrid>
        <w:gridCol w:w="7632"/>
        <w:gridCol w:w="2592"/>
      </w:tblGrid>
      <w:tr>
        <w:tblPrEx>
          <w:jc w:val="center"/>
          <w:tblLayout w:type="fixed"/>
          <w:tblLook w:val="0420"/>
        </w:tblPrEx>
        <w:trPr>
          <w:trHeight w:hRule="auto" w:val="297"/>
          <w:tblHeader/>
          <w:jc w:val="center"/>
        </w:trPr>
        <w:tc>
          <w:tcPr>
            <w:tcBorders>
              <w:top w:val="nil"/>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Funds Available</w:t>
            </w:r>
          </w:p>
        </w:tc>
        <w:tc>
          <w:tcPr>
            <w:tcBorders>
              <w:top w:val="nil"/>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Actual</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High Yield Investment Account</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$373,984</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Official Account</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$19,645</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Other Accounts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Total Funds Available</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$393,629</w:t>
            </w:r>
          </w:p>
        </w:tc>
      </w:tr>
    </w:tbl>
    <w:p>
      <w:r>
        <w:t> </w:t>
      </w:r>
    </w:p>
    <w:tbl>
      <w:tblPr>
        <w:tblStyle w:val="TableNormal"/>
        <w:jc w:val="center"/>
        <w:tblLayout w:type="fixed"/>
        <w:tblLook w:val="0420"/>
      </w:tblPr>
      <w:tblGrid>
        <w:gridCol w:w="7632"/>
        <w:gridCol w:w="2592"/>
      </w:tblGrid>
      <w:tr>
        <w:tblPrEx>
          <w:jc w:val="center"/>
          <w:tblLayout w:type="fixed"/>
          <w:tblLook w:val="0420"/>
        </w:tblPrEx>
        <w:trPr>
          <w:trHeight w:hRule="auto" w:val="300"/>
          <w:tblHeader/>
          <w:jc w:val="center"/>
        </w:trPr>
        <w:tc>
          <w:tcPr>
            <w:tcBorders>
              <w:top w:val="nil"/>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Financial Commitments</w:t>
            </w:r>
          </w:p>
        </w:tc>
        <w:tc>
          <w:tcPr>
            <w:tcBorders>
              <w:top w:val="nil"/>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Actual</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Operating Reserve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$76,854</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Other Recurrent Expenditure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$18,038</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Provision Accounts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$14,350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Funds Received in Advance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School Based Programs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$161,175</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Beneficiary/Memorial Accounts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Cooperative Bank Account</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Funds for Committees/Shared Arrangements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Repayable to the Department</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Asset/Equipment Replacement &lt; 12 months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Capital - Buildings/Grounds &lt; 12 months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$100,000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Maintenance - Buildings/Grounds &lt; 12 months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Asset/Equipment Replacement &gt; 12 months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Capital - Buildings/Grounds &gt; 12 months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Maintenance - Buildings/Grounds &gt; 12 months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Total Financial Commitments</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$370,417</w:t>
            </w:r>
          </w:p>
        </w:tc>
      </w:tr>
    </w:tbl>
    <w:p>
      <w:r>
        <w:t> </w:t>
      </w:r>
    </w:p>
    <w:p>
      <w:r>
        <w:rPr>
          <w:i/>
          <w:iCs/>
        </w:rPr>
        <w:t>All funds received from the Department of Education, or raised by the school, have been expended, or committed to subsequent years, to support the achievement of educational outcomes and other operational needs of the school, consistent with department policies, School Council approvals and the intent/purposes for which funding was provided or raised.</w:t>
      </w:r>
    </w:p>
    <w:p>
      <w:bookmarkEnd w:id="26"/>
      <w:bookmarkEnd w:id="24"/>
    </w:p>
    <w:sectPr>
      <w:footerReference w:type="default" r:id="rId46"/>
      <w:type w:val="nextPage"/>
      <w:pgSz w:w="11906" w:h="16838" w:orient="portrait"/>
      <w:pgMar w:top="1134" w:right="567" w:bottom="1701" w:left="567" w:header="0"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B33" w:rsidP="00B076D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7B33" w:rsidP="00B076D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04122842"/>
      <w:docPartObj>
        <w:docPartGallery w:val="Page Numbers (Bottom of Page)"/>
        <w:docPartUnique/>
      </w:docPartObj>
    </w:sdtPr>
    <w:sdtEndPr>
      <w:rPr>
        <w:color w:val="7F7F7F" w:themeColor="background1" w:themeShade="7F"/>
        <w:spacing w:val="60"/>
      </w:rPr>
    </w:sdtEndPr>
    <w:sdtContent>
      <w:p w:rsidR="00CB36E6" w:rsidP="00CB36E6">
        <w:pPr>
          <w:pStyle w:val="Footer"/>
          <w:pBdr>
            <w:top w:val="single" w:sz="4" w:space="1" w:color="D9D9D9" w:themeColor="background1" w:themeShade="D9"/>
          </w:pBdr>
          <w:rPr>
            <w:b/>
            <w:bCs/>
          </w:rPr>
        </w:pPr>
        <w:r w:rsidRPr="00963AD0">
          <w:rPr>
            <w:position w:val="20"/>
            <w:sz w:val="16"/>
            <w:szCs w:val="16"/>
          </w:rPr>
          <w:fldChar w:fldCharType="begin"/>
        </w:r>
        <w:r w:rsidRPr="00963AD0">
          <w:rPr>
            <w:position w:val="20"/>
            <w:sz w:val="16"/>
            <w:szCs w:val="16"/>
          </w:rPr>
          <w:instrText xml:space="preserve"> PAGE   \* MERGEFORMAT </w:instrText>
        </w:r>
        <w:r w:rsidRPr="00963AD0">
          <w:rPr>
            <w:position w:val="20"/>
            <w:sz w:val="16"/>
            <w:szCs w:val="16"/>
          </w:rPr>
          <w:fldChar w:fldCharType="separate"/>
        </w:r>
        <w:r>
          <w:rPr>
            <w:position w:val="20"/>
            <w:sz w:val="16"/>
            <w:szCs w:val="16"/>
          </w:rPr>
          <w:t>2</w:t>
        </w:r>
        <w:r w:rsidRPr="00963AD0">
          <w:rPr>
            <w:bCs/>
            <w:noProof/>
            <w:position w:val="20"/>
            <w:sz w:val="16"/>
            <w:szCs w:val="16"/>
          </w:rPr>
          <w:fldChar w:fldCharType="end"/>
        </w:r>
        <w:r w:rsidRPr="00963AD0">
          <w:rPr>
            <w:bCs/>
            <w:position w:val="20"/>
            <w:sz w:val="16"/>
            <w:szCs w:val="16"/>
          </w:rPr>
          <w:t xml:space="preserve"> </w:t>
        </w:r>
        <w:r w:rsidRPr="00963AD0">
          <w:rPr>
            <w:bCs/>
            <w:spacing w:val="-2"/>
            <w:position w:val="20"/>
            <w:sz w:val="16"/>
            <w:szCs w:val="16"/>
          </w:rPr>
          <w:t>|</w:t>
        </w:r>
        <w:r w:rsidRPr="00963AD0">
          <w:rPr>
            <w:spacing w:val="-2"/>
            <w:position w:val="20"/>
            <w:sz w:val="16"/>
            <w:szCs w:val="16"/>
          </w:rPr>
          <w:t>Department of Education</w:t>
        </w:r>
        <w:r w:rsidRPr="00963AD0">
          <w:rPr>
            <w:noProof/>
          </w:rPr>
          <w:t xml:space="preserve">           </w:t>
        </w:r>
        <w:r>
          <w:rPr>
            <w:noProof/>
          </w:rPr>
          <w:tab/>
          <w:t xml:space="preserve">                                                                                                           </w:t>
        </w:r>
        <w:r w:rsidR="003150F4">
          <w:rPr>
            <w:noProof/>
          </w:rPr>
          <w:t xml:space="preserve">  </w:t>
        </w:r>
        <w:r w:rsidR="00E31553">
          <w:rPr>
            <w:noProof/>
          </w:rPr>
          <w:t xml:space="preserve">                    </w:t>
        </w:r>
        <w:r>
          <w:rPr>
            <w:noProof/>
          </w:rPr>
          <w:drawing>
            <wp:inline distT="0" distB="0" distL="0" distR="0">
              <wp:extent cx="660400" cy="508000"/>
              <wp:effectExtent l="0" t="0" r="6350" b="6350"/>
              <wp:docPr id="519282739" name="Picture 1" descr="A black background with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533183" name="Picture 1" descr="A black background with purple text&#10;&#10;AI-generated content may be incorrect."/>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660400" cy="508000"/>
                      </a:xfrm>
                      <a:prstGeom prst="rect">
                        <a:avLst/>
                      </a:prstGeom>
                      <a:noFill/>
                      <a:ln>
                        <a:noFill/>
                      </a:ln>
                    </pic:spPr>
                  </pic:pic>
                </a:graphicData>
              </a:graphic>
            </wp:inline>
          </w:drawing>
        </w:r>
      </w:p>
    </w:sdtContent>
  </w:sdt>
  <w:p w:rsidR="00BB7B33" w:rsidRPr="003E29B5" w:rsidP="00B076D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0F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left w:val="nil"/>
        <w:bottom w:val="nil"/>
        <w:right w:val="nil"/>
      </w:pBdr>
      <w:tabs>
        <w:tab w:val="right" w:pos="10080"/>
      </w:tabs>
      <w:spacing w:before="0" w:after="0" w:line="240" w:lineRule="auto"/>
      <w:ind w:left="0" w:right="0" w:firstLine="0" w:firstLineChars="0"/>
      <w:jc w:val="left"/>
    </w:pPr>
    <w:r>
      <w:rPr>
        <w:rFonts w:ascii="Arial" w:eastAsia="Arial" w:hAnsi="Arial" w:cs="Arial"/>
        <w:b w:val="0"/>
        <w:i w:val="0"/>
        <w:strike w:val="0"/>
        <w:color w:val="000000"/>
        <w:sz w:val="16"/>
        <w:szCs w:val="16"/>
        <w:u w:val="none"/>
      </w:rPr>
      <w:fldChar w:fldCharType="begin"/>
    </w:r>
    <w:r>
      <w:rPr>
        <w:rFonts w:ascii="Arial" w:eastAsia="Arial" w:hAnsi="Arial" w:cs="Arial"/>
        <w:b w:val="0"/>
        <w:i w:val="0"/>
        <w:strike w:val="0"/>
        <w:color w:val="000000"/>
        <w:sz w:val="16"/>
        <w:szCs w:val="16"/>
        <w:u w:val="none"/>
      </w:rPr>
      <w:instrText>PAGE</w:instrText>
    </w:r>
    <w:r>
      <w:rPr>
        <w:rFonts w:ascii="Arial" w:eastAsia="Arial" w:hAnsi="Arial" w:cs="Arial"/>
        <w:b w:val="0"/>
        <w:i w:val="0"/>
        <w:strike w:val="0"/>
        <w:color w:val="000000"/>
        <w:sz w:val="16"/>
        <w:szCs w:val="16"/>
        <w:u w:val="none"/>
      </w:rPr>
      <w:fldChar w:fldCharType="separate"/>
    </w:r>
    <w:r>
      <w:rPr>
        <w:rFonts w:ascii="Arial" w:eastAsia="Arial" w:hAnsi="Arial" w:cs="Arial"/>
        <w:b w:val="0"/>
        <w:i w:val="0"/>
        <w:strike w:val="0"/>
        <w:color w:val="000000"/>
        <w:sz w:val="16"/>
        <w:szCs w:val="16"/>
        <w:u w:val="none"/>
      </w:rPr>
      <w:fldChar w:fldCharType="end"/>
    </w:r>
    <w:r>
      <w:rPr>
        <w:rFonts w:ascii="Arial" w:eastAsia="Arial" w:hAnsi="Arial" w:cs="Arial"/>
        <w:b w:val="0"/>
        <w:i w:val="0"/>
        <w:strike w:val="0"/>
        <w:color w:val="000000"/>
        <w:sz w:val="16"/>
        <w:szCs w:val="16"/>
        <w:u w:val="none"/>
      </w:rPr>
      <w:t xml:space="preserve"> | Department of Education</w:t>
    </w:r>
    <w:r>
      <w:tab/>
    </w:r>
    <w:r>
      <w:rPr>
        <w:rFonts w:ascii="Arial" w:eastAsia="Arial" w:hAnsi="Arial" w:cs="Arial"/>
        <w:b w:val="0"/>
        <w:i w:val="0"/>
        <w:strike w:val="0"/>
        <w:color w:val="000000"/>
        <w:sz w:val="16"/>
        <w:szCs w:val="16"/>
        <w:u w:val="none"/>
      </w:rPr>
      <w:t>Tate Street Primary School Geelong</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B33">
    <w:r>
      <w:rPr>
        <w:noProof/>
        <w:lang w:eastAsia="en-AU"/>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align>center</wp:align>
              </wp:positionV>
              <wp:extent cx="6350000" cy="2286000"/>
              <wp:effectExtent l="0" t="1428750" r="0" b="1276350"/>
              <wp:wrapNone/>
              <wp:docPr id="10" name="Text Box 10"/>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9200000">
                        <a:off x="0" y="0"/>
                        <a:ext cx="6350000" cy="2286000"/>
                      </a:xfrm>
                      <a:prstGeom prst="rect">
                        <a:avLst/>
                      </a:prstGeom>
                    </wps:spPr>
                    <wps:txbx>
                      <w:txbxContent>
                        <w:p w:rsidR="00BB7B33" w:rsidP="00AF1438">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0" o:spid="_x0000_s2049"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1312" filled="f" stroked="f">
              <o:lock v:ext="edit" shapetype="t"/>
              <v:textbox style="mso-fit-shape-to-text:t">
                <w:txbxContent>
                  <w:p w:rsidR="00BB7B33" w:rsidP="00AF1438">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B33" w:rsidP="000813BF">
    <w:pPr>
      <w:pStyle w:val="Header"/>
      <w:tabs>
        <w:tab w:val="clear" w:pos="4513"/>
        <w:tab w:val="clear" w:pos="9026"/>
      </w:tabs>
      <w:ind w:left="-562" w:right="259"/>
    </w:pPr>
    <w:r>
      <w:rPr>
        <w:noProof/>
      </w:rPr>
      <w:drawing>
        <wp:inline distT="0" distB="0" distL="0" distR="0">
          <wp:extent cx="7629525" cy="1038225"/>
          <wp:effectExtent l="0" t="0" r="9525" b="9525"/>
          <wp:docPr id="1715966461" name="Graphic 2" descr="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892788" name="Graphic 2" descr="Department of Education"/>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629525" cy="1038225"/>
                  </a:xfrm>
                  <a:prstGeom prst="rect">
                    <a:avLst/>
                  </a:prstGeom>
                </pic:spPr>
              </pic:pic>
            </a:graphicData>
          </a:graphic>
        </wp:inline>
      </w:drawing>
    </w:r>
    <w:r w:rsidRPr="000C104E">
      <w:rPr>
        <w:noProof/>
        <w:lang w:eastAsia="en-AU"/>
      </w:rPr>
      <w:drawing>
        <wp:anchor distT="0" distB="0" distL="114300" distR="114300" simplePos="0" relativeHeight="251662336" behindDoc="1" locked="0" layoutInCell="1" allowOverlap="1">
          <wp:simplePos x="0" y="0"/>
          <wp:positionH relativeFrom="column">
            <wp:posOffset>7883858</wp:posOffset>
          </wp:positionH>
          <wp:positionV relativeFrom="paragraph">
            <wp:posOffset>-378460</wp:posOffset>
          </wp:positionV>
          <wp:extent cx="1991003" cy="743054"/>
          <wp:effectExtent l="0" t="0" r="0" b="0"/>
          <wp:wrapNone/>
          <wp:docPr id="1881117455" name="Picture 1881117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B33">
    <w:r>
      <w:rPr>
        <w:noProof/>
        <w:lang w:eastAsia="en-AU"/>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ge">
                <wp:align>center</wp:align>
              </wp:positionV>
              <wp:extent cx="6350000" cy="2286000"/>
              <wp:effectExtent l="0" t="1428750" r="0" b="1276350"/>
              <wp:wrapNone/>
              <wp:docPr id="9" name="Text Box 9"/>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9200000">
                        <a:off x="0" y="0"/>
                        <a:ext cx="6350000" cy="2286000"/>
                      </a:xfrm>
                      <a:prstGeom prst="rect">
                        <a:avLst/>
                      </a:prstGeom>
                    </wps:spPr>
                    <wps:txbx>
                      <w:txbxContent>
                        <w:p w:rsidR="00BB7B33" w:rsidP="00AF1438">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9" o:spid="_x0000_s2050"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59264" filled="f" stroked="f">
              <o:lock v:ext="edit" shapetype="t"/>
              <v:textbox style="mso-fit-shape-to-text:t">
                <w:txbxContent>
                  <w:p w:rsidR="00BB7B33" w:rsidP="00AF1438">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53EF81A"/>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C35C4A8A"/>
    <w:lvl w:ilvl="0">
      <w:start w:val="1"/>
      <w:numFmt w:val="decimal"/>
      <w:lvlText w:val="%1."/>
      <w:lvlJc w:val="left"/>
      <w:pPr>
        <w:tabs>
          <w:tab w:val="num" w:pos="1492"/>
        </w:tabs>
        <w:ind w:left="1492" w:hanging="360"/>
      </w:pPr>
    </w:lvl>
  </w:abstractNum>
  <w:abstractNum w:abstractNumId="2">
    <w:nsid w:val="FFFFFF7D"/>
    <w:multiLevelType w:val="singleLevel"/>
    <w:tmpl w:val="13785984"/>
    <w:lvl w:ilvl="0">
      <w:start w:val="1"/>
      <w:numFmt w:val="decimal"/>
      <w:lvlText w:val="%1."/>
      <w:lvlJc w:val="left"/>
      <w:pPr>
        <w:tabs>
          <w:tab w:val="num" w:pos="1209"/>
        </w:tabs>
        <w:ind w:left="1209" w:hanging="360"/>
      </w:pPr>
    </w:lvl>
  </w:abstractNum>
  <w:abstractNum w:abstractNumId="3">
    <w:nsid w:val="FFFFFF7E"/>
    <w:multiLevelType w:val="singleLevel"/>
    <w:tmpl w:val="8050ED96"/>
    <w:lvl w:ilvl="0">
      <w:start w:val="1"/>
      <w:numFmt w:val="decimal"/>
      <w:lvlText w:val="%1."/>
      <w:lvlJc w:val="left"/>
      <w:pPr>
        <w:tabs>
          <w:tab w:val="num" w:pos="926"/>
        </w:tabs>
        <w:ind w:left="926" w:hanging="360"/>
      </w:pPr>
    </w:lvl>
  </w:abstractNum>
  <w:abstractNum w:abstractNumId="4">
    <w:nsid w:val="FFFFFF7F"/>
    <w:multiLevelType w:val="singleLevel"/>
    <w:tmpl w:val="14FC5E2A"/>
    <w:lvl w:ilvl="0">
      <w:start w:val="1"/>
      <w:numFmt w:val="decimal"/>
      <w:lvlText w:val="%1."/>
      <w:lvlJc w:val="left"/>
      <w:pPr>
        <w:tabs>
          <w:tab w:val="num" w:pos="643"/>
        </w:tabs>
        <w:ind w:left="643" w:hanging="360"/>
      </w:pPr>
    </w:lvl>
  </w:abstractNum>
  <w:abstractNum w:abstractNumId="5">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FFBEA14C"/>
    <w:lvl w:ilvl="0">
      <w:start w:val="1"/>
      <w:numFmt w:val="decimal"/>
      <w:lvlText w:val="%1."/>
      <w:lvlJc w:val="left"/>
      <w:pPr>
        <w:tabs>
          <w:tab w:val="num" w:pos="360"/>
        </w:tabs>
        <w:ind w:left="360" w:hanging="360"/>
      </w:pPr>
    </w:lvl>
  </w:abstractNum>
  <w:abstractNum w:abstractNumId="1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nsid w:val="0D8D0F11"/>
    <w:multiLevelType w:val="hybridMultilevel"/>
    <w:tmpl w:val="28BC2626"/>
    <w:lvl w:ilvl="0">
      <w:start w:val="1"/>
      <w:numFmt w:val="bullet"/>
      <w:pStyle w:val="Bullet2"/>
      <w:lvlText w:val="–"/>
      <w:lvlJc w:val="left"/>
      <w:pPr>
        <w:ind w:left="644" w:hanging="360"/>
      </w:pPr>
      <w:rPr>
        <w:rFonts w:ascii="Arial" w:hAnsi="Arial" w:hint="default"/>
        <w:b w:val="0"/>
        <w:i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02F5BA7"/>
    <w:multiLevelType w:val="hybridMultilevel"/>
    <w:tmpl w:val="60C841FC"/>
    <w:lvl w:ilvl="0">
      <w:start w:val="0"/>
      <w:numFmt w:val="bullet"/>
      <w:lvlText w:val="•"/>
      <w:lvlJc w:val="left"/>
      <w:pPr>
        <w:ind w:left="1080" w:hanging="720"/>
      </w:pPr>
      <w:rPr>
        <w:rFonts w:ascii="Arial" w:hAnsi="Arial" w:eastAsiaTheme="minorEastAsia"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992766D"/>
    <w:multiLevelType w:val="hybridMultilevel"/>
    <w:tmpl w:val="24BEF7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BA35373"/>
    <w:multiLevelType w:val="hybridMultilevel"/>
    <w:tmpl w:val="467A483A"/>
    <w:lvl w:ilvl="0">
      <w:start w:val="1"/>
      <w:numFmt w:val="decimal"/>
      <w:pStyle w:val="Numberlis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56B7CD3"/>
    <w:multiLevelType w:val="hybridMultilevel"/>
    <w:tmpl w:val="D2EAFE46"/>
    <w:lvl w:ilvl="0">
      <w:start w:val="1"/>
      <w:numFmt w:val="bullet"/>
      <w:lvlText w:val="o"/>
      <w:lvlJc w:val="left"/>
      <w:pPr>
        <w:ind w:left="644"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95702BE"/>
    <w:multiLevelType w:val="hybridMultilevel"/>
    <w:tmpl w:val="D91CCB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41F64396"/>
    <w:multiLevelType w:val="hybridMultilevel"/>
    <w:tmpl w:val="3E6E88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CB619BD"/>
    <w:multiLevelType w:val="hybridMultilevel"/>
    <w:tmpl w:val="3070A5AC"/>
    <w:lvl w:ilvl="0">
      <w:start w:val="1"/>
      <w:numFmt w:val="lowerLetter"/>
      <w:pStyle w:val="Alphabetlist"/>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9">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64B36AF8"/>
    <w:multiLevelType w:val="hybridMultilevel"/>
    <w:tmpl w:val="D1A8A6B2"/>
    <w:lvl w:ilvl="0">
      <w:start w:val="1"/>
      <w:numFmt w:val="bullet"/>
      <w:pStyle w:val="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4B36AF9"/>
    <w:multiLevelType w:val="multilevel"/>
    <w:tmpl w:val="00000000"/>
    <w:lvl w:ilvl="0">
      <w:start w:val="0"/>
      <w:numFmt w:val="bullet"/>
      <w:lvlText w:val=""/>
      <w:lvlJc w:val="left"/>
      <w:pPr>
        <w:ind w:left="720" w:hanging="360"/>
      </w:pPr>
      <w:rPr>
        <w:rFonts w:ascii="Symbol" w:hAnsi="Symbol" w:cs="Symbol" w:hint="default"/>
      </w:rPr>
    </w:lvl>
    <w:lvl w:ilvl="1">
      <w:start w:val="0"/>
      <w:numFmt w:val="bullet"/>
      <w:lvlText w:val="o"/>
      <w:lvlJc w:val="left"/>
      <w:pPr>
        <w:ind w:left="1440" w:hanging="360"/>
      </w:pPr>
      <w:rPr>
        <w:rFonts w:ascii="Courier New" w:hAnsi="Courier New" w:cs="Courier New" w:hint="default"/>
      </w:rPr>
    </w:lvl>
    <w:lvl w:ilvl="2">
      <w:start w:val="0"/>
      <w:numFmt w:val="bullet"/>
      <w:lvlText w:val=""/>
      <w:lvlJc w:val="left"/>
      <w:pPr>
        <w:ind w:left="2160" w:hanging="360"/>
      </w:pPr>
      <w:rPr>
        <w:rFonts w:ascii="Wingdings" w:hAnsi="Wingdings" w:cs="Wingdings" w:hint="default"/>
      </w:rPr>
    </w:lvl>
    <w:lvl w:ilvl="3">
      <w:start w:val="0"/>
      <w:numFmt w:val="bullet"/>
      <w:lvlText w:val=""/>
      <w:lvlJc w:val="left"/>
      <w:pPr>
        <w:ind w:left="2880" w:hanging="360"/>
      </w:pPr>
      <w:rPr>
        <w:rFonts w:ascii="Symbol" w:hAnsi="Symbol" w:cs="Symbol" w:hint="default"/>
      </w:rPr>
    </w:lvl>
    <w:lvl w:ilvl="4">
      <w:start w:val="0"/>
      <w:numFmt w:val="bullet"/>
      <w:lvlText w:val="o"/>
      <w:lvlJc w:val="left"/>
      <w:pPr>
        <w:ind w:left="3600" w:hanging="360"/>
      </w:pPr>
      <w:rPr>
        <w:rFonts w:ascii="Courier New" w:hAnsi="Courier New" w:cs="Courier New" w:hint="default"/>
      </w:rPr>
    </w:lvl>
    <w:lvl w:ilvl="5">
      <w:start w:val="0"/>
      <w:numFmt w:val="bullet"/>
      <w:lvlText w:val=""/>
      <w:lvlJc w:val="left"/>
      <w:pPr>
        <w:ind w:left="4320" w:hanging="360"/>
      </w:pPr>
      <w:rPr>
        <w:rFonts w:ascii="Wingdings" w:hAnsi="Wingdings" w:cs="Wingdings" w:hint="default"/>
      </w:rPr>
    </w:lvl>
    <w:lvl w:ilvl="6">
      <w:start w:val="0"/>
      <w:numFmt w:val="bullet"/>
      <w:lvlText w:val=""/>
      <w:lvlJc w:val="left"/>
      <w:pPr>
        <w:ind w:left="5040" w:hanging="360"/>
      </w:pPr>
      <w:rPr>
        <w:rFonts w:ascii="Symbol" w:hAnsi="Symbol" w:cs="Symbol" w:hint="default"/>
      </w:rPr>
    </w:lvl>
    <w:lvl w:ilvl="7">
      <w:start w:val="0"/>
      <w:numFmt w:val="bullet"/>
      <w:lvlText w:val="o"/>
      <w:lvlJc w:val="left"/>
      <w:pPr>
        <w:ind w:left="5760" w:hanging="360"/>
      </w:pPr>
      <w:rPr>
        <w:rFonts w:ascii="Courier New" w:hAnsi="Courier New" w:cs="Courier New" w:hint="default"/>
      </w:rPr>
    </w:lvl>
    <w:lvl w:ilvl="8">
      <w:start w:val="0"/>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9"/>
  </w:num>
  <w:num w:numId="7">
    <w:abstractNumId w:val="5"/>
  </w:num>
  <w:num w:numId="8">
    <w:abstractNumId w:val="6"/>
  </w:num>
  <w:num w:numId="9">
    <w:abstractNumId w:val="7"/>
  </w:num>
  <w:num w:numId="10">
    <w:abstractNumId w:val="8"/>
  </w:num>
  <w:num w:numId="11">
    <w:abstractNumId w:val="10"/>
  </w:num>
  <w:num w:numId="12">
    <w:abstractNumId w:val="15"/>
  </w:num>
  <w:num w:numId="13">
    <w:abstractNumId w:val="19"/>
  </w:num>
  <w:num w:numId="14">
    <w:abstractNumId w:val="20"/>
  </w:num>
  <w:num w:numId="15">
    <w:abstractNumId w:val="14"/>
  </w:num>
  <w:num w:numId="16">
    <w:abstractNumId w:val="14"/>
    <w:lvlOverride w:ilvl="0">
      <w:startOverride w:val="1"/>
    </w:lvlOverride>
  </w:num>
  <w:num w:numId="17">
    <w:abstractNumId w:val="18"/>
  </w:num>
  <w:num w:numId="18">
    <w:abstractNumId w:val="13"/>
  </w:num>
  <w:num w:numId="19">
    <w:abstractNumId w:val="12"/>
  </w:num>
  <w:num w:numId="20">
    <w:abstractNumId w:val="11"/>
  </w:num>
  <w:num w:numId="21">
    <w:abstractNumId w:val="16"/>
  </w:num>
  <w:num w:numId="22">
    <w:abstractNumId w:val="17"/>
  </w:num>
  <w:num w:numId="23">
    <w:abstractNumId w:val="18"/>
  </w:num>
  <w:num w:numId="24">
    <w:abstractNumId w:val="21"/>
  </w:num>
  <w:num w:numId="25">
    <w:abstractNumId w:val="21"/>
  </w:num>
  <w:num w:numId="26">
    <w:abstractNumId w:val="21"/>
  </w:num>
  <w:num w:numId="27">
    <w:abstractNumId w:val="2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1F08" w:allStyles="0" w:alternateStyleNames="0" w:clearFormatting="1" w:customStyles="0" w:directFormattingOnNumbering="1" w:directFormattingOnParagraphs="1" w:directFormattingOnRuns="1" w:directFormattingOnTables="1" w:headingStyles="0" w:latentStyles="0" w:numberingStyles="0" w:stylesInUse="1" w:tableStyles="0" w:top3HeadingStyles="0" w:visibleStyles="0"/>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3D09"/>
    <w:pPr>
      <w:spacing w:before="120" w:after="120" w:line="240" w:lineRule="atLeast"/>
    </w:pPr>
    <w:rPr>
      <w:sz w:val="20"/>
      <w:szCs w:val="20"/>
      <w:lang w:val="en-AU"/>
    </w:rPr>
  </w:style>
  <w:style w:type="paragraph" w:styleId="Heading1">
    <w:name w:val="heading 1"/>
    <w:basedOn w:val="Normal"/>
    <w:next w:val="Normal"/>
    <w:link w:val="Heading1Char"/>
    <w:uiPriority w:val="9"/>
    <w:qFormat/>
    <w:rsid w:val="00133D09"/>
    <w:pPr>
      <w:keepNext/>
      <w:keepLines/>
      <w:spacing w:before="240" w:after="240"/>
      <w:outlineLvl w:val="0"/>
    </w:pPr>
    <w:rPr>
      <w:rFonts w:asciiTheme="majorHAnsi" w:eastAsiaTheme="majorEastAsia" w:hAnsiTheme="majorHAnsi" w:cs="Times New Roman (Headings CS)"/>
      <w:bCs/>
      <w:color w:val="D00131" w:themeColor="accent5"/>
      <w:sz w:val="32"/>
      <w:szCs w:val="32"/>
    </w:rPr>
  </w:style>
  <w:style w:type="paragraph" w:styleId="Heading2">
    <w:name w:val="heading 2"/>
    <w:basedOn w:val="Normal"/>
    <w:next w:val="Normal"/>
    <w:link w:val="Heading2Char"/>
    <w:uiPriority w:val="9"/>
    <w:unhideWhenUsed/>
    <w:qFormat/>
    <w:rsid w:val="00133D09"/>
    <w:pPr>
      <w:keepNext/>
      <w:keepLines/>
      <w:spacing w:before="360"/>
      <w:outlineLvl w:val="1"/>
    </w:pPr>
    <w:rPr>
      <w:rFonts w:asciiTheme="majorHAnsi" w:eastAsiaTheme="majorEastAsia" w:hAnsiTheme="majorHAnsi" w:cs="Times New Roman (Headings CS)"/>
      <w:bCs/>
      <w:color w:val="1F1646" w:themeColor="text1"/>
      <w:sz w:val="28"/>
      <w:szCs w:val="28"/>
    </w:rPr>
  </w:style>
  <w:style w:type="paragraph" w:styleId="Heading3">
    <w:name w:val="heading 3"/>
    <w:basedOn w:val="Normal"/>
    <w:next w:val="Normal"/>
    <w:link w:val="Heading3Char"/>
    <w:uiPriority w:val="9"/>
    <w:unhideWhenUsed/>
    <w:qFormat/>
    <w:rsid w:val="00133D09"/>
    <w:pPr>
      <w:keepNext/>
      <w:keepLines/>
      <w:spacing w:before="360"/>
      <w:outlineLvl w:val="2"/>
    </w:pPr>
    <w:rPr>
      <w:rFonts w:asciiTheme="majorHAnsi" w:eastAsiaTheme="majorEastAsia" w:hAnsiTheme="majorHAnsi" w:cstheme="majorBidi"/>
      <w:bCs/>
      <w:color w:val="1F1646" w:themeColor="text1"/>
      <w:sz w:val="24"/>
      <w:szCs w:val="24"/>
    </w:rPr>
  </w:style>
  <w:style w:type="paragraph" w:styleId="Heading4">
    <w:name w:val="heading 4"/>
    <w:basedOn w:val="Heading3"/>
    <w:next w:val="Normal"/>
    <w:link w:val="Heading4Char"/>
    <w:uiPriority w:val="9"/>
    <w:unhideWhenUsed/>
    <w:qFormat/>
    <w:rsid w:val="001F4B78"/>
    <w:pPr>
      <w:spacing w:line="240" w:lineRule="exact"/>
      <w:outlineLvl w:val="3"/>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133D09"/>
    <w:rPr>
      <w:rFonts w:asciiTheme="majorHAnsi" w:eastAsiaTheme="majorEastAsia" w:hAnsiTheme="majorHAnsi" w:cs="Times New Roman (Headings CS)"/>
      <w:bCs/>
      <w:color w:val="D00131" w:themeColor="accent5"/>
      <w:sz w:val="32"/>
      <w:szCs w:val="32"/>
      <w:lang w:val="en-AU"/>
    </w:rPr>
  </w:style>
  <w:style w:type="paragraph" w:customStyle="1" w:styleId="Intro">
    <w:name w:val="Intro"/>
    <w:basedOn w:val="Normal"/>
    <w:qFormat/>
    <w:rsid w:val="00133D09"/>
    <w:pPr>
      <w:spacing w:before="360" w:after="360"/>
    </w:pPr>
    <w:rPr>
      <w:rFonts w:cs="Times New Roman (Body CS)"/>
      <w:color w:val="1F1646" w:themeColor="text1"/>
      <w:sz w:val="24"/>
    </w:rPr>
  </w:style>
  <w:style w:type="character" w:customStyle="1" w:styleId="Heading2Char">
    <w:name w:val="Heading 2 Char"/>
    <w:basedOn w:val="DefaultParagraphFont"/>
    <w:link w:val="Heading2"/>
    <w:uiPriority w:val="9"/>
    <w:rsid w:val="00133D09"/>
    <w:rPr>
      <w:rFonts w:asciiTheme="majorHAnsi" w:eastAsiaTheme="majorEastAsia" w:hAnsiTheme="majorHAnsi" w:cs="Times New Roman (Headings CS)"/>
      <w:bCs/>
      <w:color w:val="1F1646" w:themeColor="text1"/>
      <w:sz w:val="28"/>
      <w:szCs w:val="28"/>
      <w:lang w:val="en-AU"/>
    </w:rPr>
  </w:style>
  <w:style w:type="character" w:customStyle="1" w:styleId="Heading3Char">
    <w:name w:val="Heading 3 Char"/>
    <w:basedOn w:val="DefaultParagraphFont"/>
    <w:link w:val="Heading3"/>
    <w:uiPriority w:val="9"/>
    <w:rsid w:val="00133D09"/>
    <w:rPr>
      <w:rFonts w:asciiTheme="majorHAnsi" w:eastAsiaTheme="majorEastAsia" w:hAnsiTheme="majorHAnsi" w:cstheme="majorBidi"/>
      <w:bCs/>
      <w:color w:val="1F1646" w:themeColor="text1"/>
      <w:lang w:val="en-AU"/>
    </w:rPr>
  </w:style>
  <w:style w:type="paragraph" w:styleId="Quote">
    <w:name w:val="Quote"/>
    <w:basedOn w:val="Normal"/>
    <w:next w:val="Normal"/>
    <w:link w:val="QuoteChar"/>
    <w:uiPriority w:val="29"/>
    <w:qFormat/>
    <w:rsid w:val="00133D09"/>
    <w:pPr>
      <w:spacing w:before="240" w:after="240"/>
    </w:pPr>
    <w:rPr>
      <w:rFonts w:cs="Times New Roman (Body CS)"/>
      <w:i/>
      <w:iCs/>
      <w:color w:val="1F1646" w:themeColor="text1"/>
      <w:sz w:val="28"/>
      <w:szCs w:val="28"/>
    </w:rPr>
  </w:style>
  <w:style w:type="character" w:customStyle="1" w:styleId="QuoteChar">
    <w:name w:val="Quote Char"/>
    <w:basedOn w:val="DefaultParagraphFont"/>
    <w:link w:val="Quote"/>
    <w:uiPriority w:val="29"/>
    <w:rsid w:val="00133D09"/>
    <w:rPr>
      <w:rFonts w:cs="Times New Roman (Body CS)"/>
      <w:i/>
      <w:iCs/>
      <w:color w:val="1F1646" w:themeColor="text1"/>
      <w:sz w:val="28"/>
      <w:szCs w:val="28"/>
      <w:lang w:val="en-AU"/>
    </w:rPr>
  </w:style>
  <w:style w:type="paragraph" w:customStyle="1" w:styleId="Bullet1">
    <w:name w:val="Bullet 1"/>
    <w:basedOn w:val="Normal"/>
    <w:next w:val="Normal"/>
    <w:qFormat/>
    <w:rsid w:val="00133D09"/>
    <w:pPr>
      <w:numPr>
        <w:numId w:val="14"/>
      </w:numPr>
      <w:ind w:left="284" w:hanging="284"/>
    </w:pPr>
  </w:style>
  <w:style w:type="paragraph" w:customStyle="1" w:styleId="Bullet2">
    <w:name w:val="Bullet 2"/>
    <w:basedOn w:val="Bullet1"/>
    <w:qFormat/>
    <w:rsid w:val="002E3BED"/>
    <w:pPr>
      <w:numPr>
        <w:numId w:val="20"/>
      </w:numPr>
    </w:pPr>
  </w:style>
  <w:style w:type="paragraph" w:customStyle="1" w:styleId="Numberlist">
    <w:name w:val="Number list"/>
    <w:basedOn w:val="Normal"/>
    <w:next w:val="Normal"/>
    <w:qFormat/>
    <w:rsid w:val="002E3BED"/>
    <w:pPr>
      <w:numPr>
        <w:numId w:val="15"/>
      </w:numPr>
      <w:ind w:left="284" w:hanging="284"/>
    </w:pPr>
  </w:style>
  <w:style w:type="table" w:styleId="TableGrid">
    <w:name w:val="Table Grid"/>
    <w:basedOn w:val="TableNormal"/>
    <w:uiPriority w:val="59"/>
    <w:rsid w:val="00CD0C81"/>
    <w:rPr>
      <w:color w:val="1F1646" w:themeColor="text1"/>
      <w:sz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1F1646" w:themeColor="text1"/>
        <w:insideV w:val="single" w:sz="4" w:space="0" w:color="FFFFFF" w:themeColor="background1"/>
      </w:tblBorders>
    </w:tblPr>
    <w:tcPr>
      <w:shd w:val="clear" w:color="auto" w:fill="auto"/>
      <w:tcMar>
        <w:top w:w="57" w:type="dxa"/>
        <w:bottom w:w="57" w:type="dxa"/>
      </w:tcMar>
    </w:tcPr>
    <w:tblStylePr w:type="firstRow">
      <w:rPr>
        <w:rFonts w:asciiTheme="minorHAnsi" w:hAnsiTheme="minorHAnsi"/>
        <w:b/>
        <w:color w:val="1F1646" w:themeColor="text1"/>
        <w:sz w:val="22"/>
      </w:rPr>
      <w:tblPr/>
      <w:tcPr>
        <w:tcBorders>
          <w:left w:val="single" w:sz="4" w:space="0" w:color="CFF0F2" w:themeColor="accent6" w:themeTint="66"/>
          <w:right w:val="single" w:sz="4" w:space="0" w:color="CFF0F2" w:themeColor="accent6" w:themeTint="66"/>
        </w:tcBorders>
        <w:shd w:val="clear" w:color="auto" w:fill="CFF0F2" w:themeFill="accent6" w:themeFillTint="66"/>
      </w:tcPr>
    </w:tblStylePr>
    <w:tblStylePr w:type="firstCol">
      <w:rPr>
        <w:rFonts w:asciiTheme="minorHAnsi" w:hAnsiTheme="minorHAnsi"/>
        <w:color w:val="1F1646" w:themeColor="text1"/>
        <w:sz w:val="22"/>
      </w:rPr>
    </w:tblStylePr>
    <w:tblStylePr w:type="lastCol">
      <w:tblPr/>
      <w:tcPr>
        <w:tcBorders>
          <w:left w:val="nil"/>
        </w:tcBorders>
        <w:shd w:val="clear" w:color="auto" w:fill="auto"/>
      </w:tcPr>
    </w:tblStylePr>
    <w:tblStylePr w:type="band1Vert">
      <w:tblPr/>
      <w:tcPr>
        <w:tcBorders>
          <w:left w:val="nil"/>
          <w:right w:val="nil"/>
        </w:tcBorders>
        <w:shd w:val="clear" w:color="auto" w:fill="auto"/>
      </w:tcPr>
    </w:tblStylePr>
  </w:style>
  <w:style w:type="paragraph" w:customStyle="1" w:styleId="TableHead">
    <w:name w:val="Table Head"/>
    <w:basedOn w:val="Normal"/>
    <w:qFormat/>
    <w:rsid w:val="00973EE6"/>
    <w:rPr>
      <w:b/>
      <w:bCs/>
      <w:color w:val="1F1646" w:themeColor="text1"/>
    </w:rPr>
  </w:style>
  <w:style w:type="paragraph" w:customStyle="1" w:styleId="Tablebody">
    <w:name w:val="Table body"/>
    <w:basedOn w:val="Normal"/>
    <w:qFormat/>
    <w:rsid w:val="00A31926"/>
    <w:pPr>
      <w:spacing w:before="60" w:after="60"/>
    </w:pPr>
  </w:style>
  <w:style w:type="character" w:styleId="PageNumber">
    <w:name w:val="page number"/>
    <w:basedOn w:val="DefaultParagraphFont"/>
    <w:uiPriority w:val="99"/>
    <w:semiHidden/>
    <w:unhideWhenUsed/>
    <w:rsid w:val="00A31926"/>
  </w:style>
  <w:style w:type="paragraph" w:styleId="TOC3">
    <w:name w:val="toc 3"/>
    <w:basedOn w:val="Normal"/>
    <w:next w:val="Normal"/>
    <w:autoRedefine/>
    <w:uiPriority w:val="39"/>
    <w:unhideWhenUsed/>
    <w:rsid w:val="00DA5F30"/>
    <w:pPr>
      <w:ind w:left="360"/>
    </w:pPr>
    <w:rPr>
      <w:rFonts w:ascii="Arial" w:hAnsi="Arial" w:eastAsiaTheme="minorEastAsia" w:cs="Arial"/>
      <w:szCs w:val="18"/>
      <w:lang w:val="en-US"/>
    </w:rPr>
  </w:style>
  <w:style w:type="paragraph" w:styleId="TOC1">
    <w:name w:val="toc 1"/>
    <w:basedOn w:val="Normal"/>
    <w:next w:val="Normal"/>
    <w:autoRedefine/>
    <w:uiPriority w:val="39"/>
    <w:unhideWhenUsed/>
    <w:rsid w:val="003C0374"/>
    <w:pPr>
      <w:tabs>
        <w:tab w:val="right" w:leader="dot" w:pos="9639"/>
      </w:tabs>
      <w:spacing w:after="100"/>
    </w:pPr>
    <w:rPr>
      <w:rFonts w:ascii="Arial" w:hAnsi="Arial" w:eastAsiaTheme="minorEastAsia" w:cs="Arial"/>
      <w:b/>
      <w:color w:val="1F1646" w:themeColor="text1"/>
      <w:szCs w:val="18"/>
      <w:lang w:val="en-US"/>
    </w:rPr>
  </w:style>
  <w:style w:type="paragraph" w:styleId="TOC2">
    <w:name w:val="toc 2"/>
    <w:basedOn w:val="Normal"/>
    <w:next w:val="Normal"/>
    <w:autoRedefine/>
    <w:uiPriority w:val="39"/>
    <w:unhideWhenUsed/>
    <w:rsid w:val="00144FD5"/>
    <w:pPr>
      <w:spacing w:after="100"/>
      <w:ind w:left="180"/>
    </w:pPr>
    <w:rPr>
      <w:rFonts w:ascii="Arial" w:hAnsi="Arial" w:eastAsiaTheme="minorEastAsia" w:cs="Arial"/>
      <w:color w:val="1F1646" w:themeColor="text1"/>
      <w:szCs w:val="18"/>
      <w:lang w:val="en-US"/>
    </w:rPr>
  </w:style>
  <w:style w:type="paragraph" w:customStyle="1" w:styleId="Figuretitle">
    <w:name w:val="Figure title"/>
    <w:basedOn w:val="Normal"/>
    <w:qFormat/>
    <w:rsid w:val="00133D09"/>
    <w:pPr>
      <w:keepNext/>
      <w:keepLines/>
    </w:pPr>
    <w:rPr>
      <w:b/>
      <w:color w:val="1F1646" w:themeColor="text1"/>
      <w:sz w:val="18"/>
      <w:szCs w:val="18"/>
    </w:rPr>
  </w:style>
  <w:style w:type="paragraph" w:styleId="FootnoteText">
    <w:name w:val="footnote text"/>
    <w:basedOn w:val="Normal"/>
    <w:link w:val="FootnoteTextChar"/>
    <w:autoRedefine/>
    <w:uiPriority w:val="99"/>
    <w:unhideWhenUsed/>
    <w:qFormat/>
    <w:rsid w:val="00CD0C81"/>
    <w:pPr>
      <w:spacing w:after="40"/>
    </w:pPr>
    <w:rPr>
      <w:rFonts w:ascii="Arial" w:hAnsi="Arial" w:eastAsiaTheme="minorEastAsia" w:cs="Arial"/>
      <w:sz w:val="18"/>
      <w:szCs w:val="11"/>
      <w:lang w:val="en-US"/>
    </w:rPr>
  </w:style>
  <w:style w:type="character" w:customStyle="1" w:styleId="FootnoteTextChar">
    <w:name w:val="Footnote Text Char"/>
    <w:basedOn w:val="DefaultParagraphFont"/>
    <w:link w:val="FootnoteText"/>
    <w:uiPriority w:val="99"/>
    <w:rsid w:val="00CD0C81"/>
    <w:rPr>
      <w:rFonts w:ascii="Arial" w:hAnsi="Arial" w:eastAsiaTheme="minorEastAsia" w:cs="Arial"/>
      <w:sz w:val="18"/>
      <w:szCs w:val="11"/>
      <w:lang w:val="en-US"/>
    </w:rPr>
  </w:style>
  <w:style w:type="character" w:styleId="FootnoteReference">
    <w:name w:val="footnote reference"/>
    <w:basedOn w:val="DefaultParagraphFont"/>
    <w:uiPriority w:val="99"/>
    <w:unhideWhenUsed/>
    <w:qFormat/>
    <w:rsid w:val="00CD0C81"/>
    <w:rPr>
      <w:rFonts w:asciiTheme="minorHAnsi" w:hAnsiTheme="minorHAnsi"/>
      <w:color w:val="2C060B"/>
      <w:sz w:val="18"/>
      <w:szCs w:val="18"/>
      <w:vertAlign w:val="superscript"/>
    </w:rPr>
  </w:style>
  <w:style w:type="paragraph" w:customStyle="1" w:styleId="Covertitle">
    <w:name w:val="Cover title"/>
    <w:basedOn w:val="Normal"/>
    <w:qFormat/>
    <w:rsid w:val="00B40CCD"/>
    <w:pPr>
      <w:spacing w:before="240" w:after="180" w:line="460" w:lineRule="exact"/>
    </w:pPr>
    <w:rPr>
      <w:rFonts w:cs="Times New Roman (Body CS)"/>
      <w:bCs/>
      <w:color w:val="1F1646" w:themeColor="text1"/>
      <w:sz w:val="44"/>
      <w:szCs w:val="44"/>
    </w:rPr>
  </w:style>
  <w:style w:type="paragraph" w:customStyle="1" w:styleId="Coversubtitle">
    <w:name w:val="Cover subtitle"/>
    <w:basedOn w:val="Covertitle"/>
    <w:qFormat/>
    <w:rsid w:val="003C0374"/>
    <w:pPr>
      <w:spacing w:after="480" w:line="400" w:lineRule="exact"/>
    </w:pPr>
    <w:rPr>
      <w:bCs w:val="0"/>
      <w:sz w:val="36"/>
      <w:szCs w:val="36"/>
    </w:rPr>
  </w:style>
  <w:style w:type="paragraph" w:customStyle="1" w:styleId="Alphabetlist">
    <w:name w:val="Alphabet list"/>
    <w:basedOn w:val="Normal"/>
    <w:qFormat/>
    <w:rsid w:val="00D013E1"/>
    <w:pPr>
      <w:numPr>
        <w:numId w:val="17"/>
      </w:numPr>
    </w:pPr>
  </w:style>
  <w:style w:type="character" w:styleId="Hyperlink">
    <w:name w:val="Hyperlink"/>
    <w:basedOn w:val="DefaultParagraphFont"/>
    <w:uiPriority w:val="99"/>
    <w:unhideWhenUsed/>
    <w:rsid w:val="008B5C45"/>
    <w:rPr>
      <w:color w:val="201546" w:themeColor="hyperlink"/>
      <w:u w:val="single"/>
    </w:rPr>
  </w:style>
  <w:style w:type="character" w:customStyle="1" w:styleId="apple-converted-space">
    <w:name w:val="apple-converted-space"/>
    <w:basedOn w:val="DefaultParagraphFont"/>
    <w:rsid w:val="00DF7020"/>
  </w:style>
  <w:style w:type="character" w:styleId="Strong">
    <w:name w:val="Strong"/>
    <w:basedOn w:val="DefaultParagraphFont"/>
    <w:uiPriority w:val="22"/>
    <w:qFormat/>
    <w:rsid w:val="00973EE6"/>
  </w:style>
  <w:style w:type="character" w:styleId="IntenseEmphasis">
    <w:name w:val="Intense Emphasis"/>
    <w:basedOn w:val="DefaultParagraphFont"/>
    <w:uiPriority w:val="21"/>
    <w:qFormat/>
    <w:rsid w:val="00800CAE"/>
    <w:rPr>
      <w:rFonts w:asciiTheme="minorHAnsi" w:hAnsiTheme="minorHAnsi"/>
      <w:b/>
      <w:i w:val="0"/>
      <w:iCs/>
      <w:color w:val="1F1646" w:themeColor="text1"/>
      <w:spacing w:val="0"/>
      <w:w w:val="100"/>
      <w:sz w:val="22"/>
    </w:rPr>
  </w:style>
  <w:style w:type="paragraph" w:styleId="IntenseQuote">
    <w:name w:val="Intense Quote"/>
    <w:basedOn w:val="Normal"/>
    <w:next w:val="Normal"/>
    <w:link w:val="IntenseQuoteChar"/>
    <w:uiPriority w:val="30"/>
    <w:qFormat/>
    <w:rsid w:val="006F44D8"/>
    <w:pPr>
      <w:pBdr>
        <w:top w:val="single" w:sz="4" w:space="10" w:color="1F1646" w:themeColor="text1"/>
        <w:bottom w:val="single" w:sz="4" w:space="10" w:color="1F1646" w:themeColor="text1"/>
      </w:pBdr>
      <w:spacing w:before="360" w:after="360"/>
    </w:pPr>
    <w:rPr>
      <w:b/>
      <w:iCs/>
      <w:color w:val="1F1646" w:themeColor="text1"/>
    </w:rPr>
  </w:style>
  <w:style w:type="character" w:customStyle="1" w:styleId="IntenseQuoteChar">
    <w:name w:val="Intense Quote Char"/>
    <w:basedOn w:val="DefaultParagraphFont"/>
    <w:link w:val="IntenseQuote"/>
    <w:uiPriority w:val="30"/>
    <w:rsid w:val="006F44D8"/>
    <w:rPr>
      <w:b/>
      <w:iCs/>
      <w:color w:val="1F1646" w:themeColor="text1"/>
      <w:sz w:val="22"/>
    </w:rPr>
  </w:style>
  <w:style w:type="character" w:customStyle="1" w:styleId="Heading4Char">
    <w:name w:val="Heading 4 Char"/>
    <w:basedOn w:val="DefaultParagraphFont"/>
    <w:link w:val="Heading4"/>
    <w:uiPriority w:val="9"/>
    <w:rsid w:val="001F4B78"/>
    <w:rPr>
      <w:rFonts w:asciiTheme="majorHAnsi" w:eastAsiaTheme="majorEastAsia" w:hAnsiTheme="majorHAnsi" w:cstheme="majorBidi"/>
      <w:bCs/>
      <w:color w:val="1F1646" w:themeColor="text1"/>
      <w:sz w:val="22"/>
      <w:szCs w:val="22"/>
      <w:lang w:val="en-AU"/>
    </w:rPr>
  </w:style>
  <w:style w:type="paragraph" w:styleId="Subtitle">
    <w:name w:val="Subtitle"/>
    <w:basedOn w:val="Normal"/>
    <w:next w:val="Normal"/>
    <w:link w:val="SubtitleChar"/>
    <w:uiPriority w:val="11"/>
    <w:qFormat/>
    <w:rsid w:val="003B2E0A"/>
    <w:pPr>
      <w:numPr>
        <w:ilvl w:val="1"/>
      </w:numPr>
      <w:spacing w:after="160"/>
    </w:pPr>
    <w:rPr>
      <w:rFonts w:eastAsiaTheme="minorEastAsia"/>
      <w:color w:val="1F1646" w:themeColor="text1"/>
      <w:spacing w:val="15"/>
      <w:sz w:val="28"/>
      <w:szCs w:val="28"/>
    </w:rPr>
  </w:style>
  <w:style w:type="character" w:customStyle="1" w:styleId="SubtitleChar">
    <w:name w:val="Subtitle Char"/>
    <w:basedOn w:val="DefaultParagraphFont"/>
    <w:link w:val="Subtitle"/>
    <w:uiPriority w:val="11"/>
    <w:rsid w:val="003B2E0A"/>
    <w:rPr>
      <w:rFonts w:eastAsiaTheme="minorEastAsia"/>
      <w:color w:val="1F1646" w:themeColor="text1"/>
      <w:spacing w:val="15"/>
      <w:sz w:val="28"/>
      <w:szCs w:val="28"/>
      <w:lang w:val="en-AU"/>
    </w:rPr>
  </w:style>
  <w:style w:type="character" w:styleId="SubtleEmphasis">
    <w:name w:val="Subtle Emphasis"/>
    <w:basedOn w:val="DefaultParagraphFont"/>
    <w:uiPriority w:val="19"/>
    <w:qFormat/>
    <w:rsid w:val="00326E53"/>
    <w:rPr>
      <w:i/>
      <w:iCs/>
      <w:color w:val="1F1646" w:themeColor="text1"/>
    </w:rPr>
  </w:style>
  <w:style w:type="character" w:customStyle="1" w:styleId="UnresolvedMention">
    <w:name w:val="Unresolved Mention"/>
    <w:basedOn w:val="DefaultParagraphFont"/>
    <w:uiPriority w:val="99"/>
    <w:rsid w:val="00144FD5"/>
    <w:rPr>
      <w:color w:val="605E5C"/>
      <w:shd w:val="clear" w:color="auto" w:fill="E1DFDD"/>
    </w:rPr>
  </w:style>
  <w:style w:type="paragraph" w:customStyle="1" w:styleId="Copyrighttext">
    <w:name w:val="Copyright text"/>
    <w:basedOn w:val="FootnoteText"/>
    <w:qFormat/>
    <w:rsid w:val="00C739EF"/>
    <w:pPr>
      <w:spacing w:line="200" w:lineRule="exact"/>
      <w:ind w:right="3396"/>
    </w:pPr>
    <w:rPr>
      <w:sz w:val="15"/>
      <w:szCs w:val="15"/>
    </w:rPr>
  </w:style>
  <w:style w:type="character" w:styleId="SubtleReference">
    <w:name w:val="Subtle Reference"/>
    <w:basedOn w:val="DefaultParagraphFont"/>
    <w:uiPriority w:val="31"/>
    <w:qFormat/>
    <w:rsid w:val="006F44D8"/>
    <w:rPr>
      <w:rFonts w:asciiTheme="minorHAnsi" w:hAnsiTheme="minorHAnsi"/>
      <w:b w:val="0"/>
      <w:i w:val="0"/>
      <w:caps/>
      <w:smallCaps w:val="0"/>
      <w:strike w:val="0"/>
      <w:dstrike w:val="0"/>
      <w:vanish w:val="0"/>
      <w:color w:val="1F1646" w:themeColor="text1"/>
      <w:sz w:val="22"/>
      <w:vertAlign w:val="baseline"/>
    </w:rPr>
  </w:style>
  <w:style w:type="character" w:styleId="IntenseReference">
    <w:name w:val="Intense Reference"/>
    <w:basedOn w:val="DefaultParagraphFont"/>
    <w:uiPriority w:val="32"/>
    <w:qFormat/>
    <w:rsid w:val="00800CAE"/>
    <w:rPr>
      <w:b/>
      <w:caps/>
      <w:spacing w:val="5"/>
      <w:sz w:val="22"/>
    </w:rPr>
  </w:style>
  <w:style w:type="paragraph" w:styleId="Title">
    <w:name w:val="Title"/>
    <w:basedOn w:val="Normal"/>
    <w:next w:val="Normal"/>
    <w:link w:val="TitleChar"/>
    <w:uiPriority w:val="10"/>
    <w:qFormat/>
    <w:rsid w:val="00C739EF"/>
    <w:pPr>
      <w:spacing w:before="360" w:after="360" w:line="600" w:lineRule="exact"/>
      <w:contextualSpacing/>
    </w:pPr>
    <w:rPr>
      <w:rFonts w:asciiTheme="majorHAnsi" w:eastAsiaTheme="majorEastAsia" w:hAnsiTheme="majorHAnsi" w:cstheme="majorBidi"/>
      <w:color w:val="1F1646" w:themeColor="text1"/>
      <w:spacing w:val="-10"/>
      <w:kern w:val="28"/>
      <w:sz w:val="56"/>
      <w:szCs w:val="56"/>
    </w:rPr>
  </w:style>
  <w:style w:type="character" w:customStyle="1" w:styleId="TitleChar">
    <w:name w:val="Title Char"/>
    <w:basedOn w:val="DefaultParagraphFont"/>
    <w:link w:val="Title"/>
    <w:uiPriority w:val="10"/>
    <w:rsid w:val="00C739EF"/>
    <w:rPr>
      <w:rFonts w:asciiTheme="majorHAnsi" w:eastAsiaTheme="majorEastAsia" w:hAnsiTheme="majorHAnsi" w:cstheme="majorBidi"/>
      <w:color w:val="1F1646" w:themeColor="text1"/>
      <w:spacing w:val="-10"/>
      <w:kern w:val="28"/>
      <w:sz w:val="56"/>
      <w:szCs w:val="56"/>
      <w:lang w:val="en-AU"/>
    </w:rPr>
  </w:style>
  <w:style w:type="character" w:styleId="FollowedHyperlink">
    <w:name w:val="FollowedHyperlink"/>
    <w:basedOn w:val="DefaultParagraphFont"/>
    <w:uiPriority w:val="99"/>
    <w:semiHidden/>
    <w:unhideWhenUsed/>
    <w:rsid w:val="00C739EF"/>
    <w:rPr>
      <w:color w:val="201546" w:themeColor="followedHyperlink"/>
      <w:u w:val="single"/>
    </w:rPr>
  </w:style>
  <w:style w:type="paragraph" w:customStyle="1" w:styleId="ESHeading2">
    <w:name w:val="ES_Heading 2"/>
    <w:basedOn w:val="Heading1"/>
    <w:qFormat/>
    <w:rsid w:val="00BB7B33"/>
    <w:pPr>
      <w:spacing w:after="120"/>
    </w:pPr>
    <w:rPr>
      <w:rFonts w:ascii="Arial" w:hAnsi="Arial" w:cstheme="majorBidi"/>
      <w:b/>
      <w:caps/>
      <w:color w:val="AF272F"/>
      <w:sz w:val="20"/>
      <w:szCs w:val="20"/>
      <w:lang w:val="en-US"/>
    </w:rPr>
  </w:style>
  <w:style w:type="paragraph" w:styleId="NormalWeb">
    <w:name w:val="Normal (Web)"/>
    <w:basedOn w:val="Normal"/>
    <w:uiPriority w:val="99"/>
    <w:semiHidden/>
    <w:unhideWhenUsed/>
    <w:rsid w:val="00BB7B33"/>
    <w:pPr>
      <w:spacing w:before="100" w:beforeAutospacing="1" w:after="100" w:afterAutospacing="1" w:line="240" w:lineRule="auto"/>
    </w:pPr>
    <w:rPr>
      <w:rFonts w:ascii="Times New Roman" w:hAnsi="Times New Roman" w:eastAsiaTheme="minorEastAsia" w:cs="Times New Roman"/>
      <w:sz w:val="24"/>
      <w:szCs w:val="24"/>
      <w:lang w:val="en-US"/>
    </w:rPr>
  </w:style>
  <w:style w:type="paragraph" w:customStyle="1" w:styleId="Style1">
    <w:name w:val="Style1"/>
    <w:basedOn w:val="Normal"/>
    <w:link w:val="Style1Char"/>
    <w:qFormat/>
    <w:rsid w:val="00BB7B33"/>
    <w:pPr>
      <w:pBdr>
        <w:top w:val="single" w:sz="4" w:space="10" w:color="auto"/>
      </w:pBdr>
      <w:spacing w:after="0" w:line="240" w:lineRule="auto"/>
    </w:pPr>
    <w:rPr>
      <w:rFonts w:ascii="Arial" w:hAnsi="Arial" w:eastAsiaTheme="majorEastAsia" w:cstheme="majorBidi"/>
      <w:bCs/>
      <w:color w:val="C00000"/>
      <w:sz w:val="24"/>
      <w:lang w:val="en-US"/>
    </w:rPr>
  </w:style>
  <w:style w:type="character" w:customStyle="1" w:styleId="Style1Char">
    <w:name w:val="Style1 Char"/>
    <w:basedOn w:val="DefaultParagraphFont"/>
    <w:link w:val="Style1"/>
    <w:rsid w:val="00BB7B33"/>
    <w:rPr>
      <w:rFonts w:ascii="Arial" w:hAnsi="Arial" w:eastAsiaTheme="majorEastAsia" w:cstheme="majorBidi"/>
      <w:bCs/>
      <w:color w:val="C00000"/>
      <w:szCs w:val="20"/>
      <w:lang w:val="en-US"/>
    </w:rPr>
  </w:style>
  <w:style w:type="table" w:customStyle="1" w:styleId="TableGrid1">
    <w:name w:val="Table Grid1"/>
    <w:basedOn w:val="TableNormal"/>
    <w:next w:val="TableGrid"/>
    <w:uiPriority w:val="59"/>
    <w:rsid w:val="00BB7B33"/>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 1_0"/>
    <w:basedOn w:val="Normal"/>
    <w:next w:val="Normal"/>
    <w:link w:val="Heading1Char0"/>
    <w:uiPriority w:val="9"/>
    <w:qFormat/>
    <w:rsid w:val="003D3BB8"/>
    <w:pPr>
      <w:keepNext/>
      <w:keepLines/>
      <w:spacing w:before="360"/>
      <w:outlineLvl w:val="0"/>
    </w:pPr>
    <w:rPr>
      <w:rFonts w:asciiTheme="majorHAnsi" w:eastAsiaTheme="majorEastAsia" w:hAnsiTheme="majorHAnsi" w:cs="Times New Roman (Headings CS)"/>
      <w:bCs/>
      <w:color w:val="1F1545" w:themeColor="accent1"/>
      <w:sz w:val="32"/>
      <w:szCs w:val="32"/>
    </w:rPr>
  </w:style>
  <w:style w:type="character" w:customStyle="1" w:styleId="Heading1Char0">
    <w:name w:val="Heading 1 Char_0"/>
    <w:basedOn w:val="DefaultParagraphFont"/>
    <w:link w:val="Heading10"/>
    <w:uiPriority w:val="9"/>
    <w:rsid w:val="003D3BB8"/>
    <w:rPr>
      <w:rFonts w:asciiTheme="majorHAnsi" w:eastAsiaTheme="majorEastAsia" w:hAnsiTheme="majorHAnsi" w:cs="Times New Roman (Headings CS)"/>
      <w:bCs/>
      <w:color w:val="1F1545" w:themeColor="accent1"/>
      <w:sz w:val="32"/>
      <w:szCs w:val="32"/>
      <w:lang w:val="en-AU"/>
    </w:rPr>
  </w:style>
  <w:style w:type="paragraph" w:customStyle="1" w:styleId="Heading20">
    <w:name w:val="Heading 2_0"/>
    <w:basedOn w:val="Normal"/>
    <w:next w:val="Normal"/>
    <w:link w:val="Heading2Char0"/>
    <w:uiPriority w:val="9"/>
    <w:unhideWhenUsed/>
    <w:qFormat/>
    <w:rsid w:val="003D3BB8"/>
    <w:pPr>
      <w:keepNext/>
      <w:keepLines/>
      <w:spacing w:before="360"/>
      <w:outlineLvl w:val="1"/>
    </w:pPr>
    <w:rPr>
      <w:rFonts w:asciiTheme="majorHAnsi" w:eastAsiaTheme="majorEastAsia" w:hAnsiTheme="majorHAnsi" w:cs="Times New Roman (Headings CS)"/>
      <w:color w:val="1F1545" w:themeColor="text1"/>
      <w:sz w:val="28"/>
      <w:szCs w:val="28"/>
    </w:rPr>
  </w:style>
  <w:style w:type="character" w:customStyle="1" w:styleId="Heading2Char0">
    <w:name w:val="Heading 2 Char_0"/>
    <w:basedOn w:val="DefaultParagraphFont"/>
    <w:link w:val="Heading20"/>
    <w:uiPriority w:val="9"/>
    <w:rsid w:val="003D3BB8"/>
    <w:rPr>
      <w:rFonts w:asciiTheme="majorHAnsi" w:eastAsiaTheme="majorEastAsia" w:hAnsiTheme="majorHAnsi" w:cs="Times New Roman (Headings CS)"/>
      <w:color w:val="1F1545" w:themeColor="text1"/>
      <w:sz w:val="28"/>
      <w:szCs w:val="28"/>
      <w:lang w:val="en-AU"/>
    </w:rPr>
  </w:style>
  <w:style w:type="paragraph" w:customStyle="1" w:styleId="Heading30">
    <w:name w:val="Heading 3_0"/>
    <w:basedOn w:val="Normal"/>
    <w:next w:val="Normal"/>
    <w:link w:val="Heading3Char0"/>
    <w:uiPriority w:val="9"/>
    <w:unhideWhenUsed/>
    <w:qFormat/>
    <w:rsid w:val="003D3BB8"/>
    <w:pPr>
      <w:keepNext/>
      <w:keepLines/>
      <w:spacing w:before="360"/>
      <w:outlineLvl w:val="2"/>
    </w:pPr>
    <w:rPr>
      <w:rFonts w:asciiTheme="majorHAnsi" w:eastAsiaTheme="majorEastAsia" w:hAnsiTheme="majorHAnsi" w:cstheme="majorBidi"/>
      <w:bCs/>
      <w:color w:val="1F1545" w:themeColor="text1"/>
      <w:sz w:val="24"/>
    </w:rPr>
  </w:style>
  <w:style w:type="character" w:customStyle="1" w:styleId="Heading3Char0">
    <w:name w:val="Heading 3 Char_0"/>
    <w:basedOn w:val="DefaultParagraphFont"/>
    <w:link w:val="Heading30"/>
    <w:uiPriority w:val="9"/>
    <w:rsid w:val="003D3BB8"/>
    <w:rPr>
      <w:rFonts w:asciiTheme="majorHAnsi" w:eastAsiaTheme="majorEastAsia" w:hAnsiTheme="majorHAnsi" w:cstheme="majorBidi"/>
      <w:bCs/>
      <w:color w:val="1F1545" w:themeColor="text1"/>
      <w:szCs w:val="20"/>
      <w:lang w:val="en-AU"/>
    </w:rPr>
  </w:style>
  <w:style w:type="paragraph" w:customStyle="1" w:styleId="Heading11">
    <w:name w:val="Heading 1_1"/>
    <w:basedOn w:val="Normal"/>
    <w:next w:val="Normal"/>
    <w:link w:val="Heading1Char1"/>
    <w:uiPriority w:val="9"/>
    <w:qFormat/>
    <w:rsid w:val="003D3BB8"/>
    <w:pPr>
      <w:keepNext/>
      <w:keepLines/>
      <w:spacing w:before="360"/>
      <w:outlineLvl w:val="0"/>
    </w:pPr>
    <w:rPr>
      <w:rFonts w:asciiTheme="majorHAnsi" w:eastAsiaTheme="majorEastAsia" w:hAnsiTheme="majorHAnsi" w:cs="Times New Roman (Headings CS)"/>
      <w:bCs/>
      <w:color w:val="1F1545" w:themeColor="accent1"/>
      <w:sz w:val="32"/>
      <w:szCs w:val="32"/>
    </w:rPr>
  </w:style>
  <w:style w:type="character" w:customStyle="1" w:styleId="Heading1Char1">
    <w:name w:val="Heading 1 Char_1"/>
    <w:basedOn w:val="DefaultParagraphFont"/>
    <w:link w:val="Heading11"/>
    <w:uiPriority w:val="9"/>
    <w:rsid w:val="003D3BB8"/>
    <w:rPr>
      <w:rFonts w:asciiTheme="majorHAnsi" w:eastAsiaTheme="majorEastAsia" w:hAnsiTheme="majorHAnsi" w:cs="Times New Roman (Headings CS)"/>
      <w:bCs/>
      <w:color w:val="1F1545" w:themeColor="accent1"/>
      <w:sz w:val="32"/>
      <w:szCs w:val="32"/>
      <w:lang w:val="en-AU"/>
    </w:rPr>
  </w:style>
  <w:style w:type="paragraph" w:customStyle="1" w:styleId="Heading21">
    <w:name w:val="Heading 2_1"/>
    <w:basedOn w:val="Normal"/>
    <w:next w:val="Normal"/>
    <w:link w:val="Heading2Char1"/>
    <w:uiPriority w:val="9"/>
    <w:unhideWhenUsed/>
    <w:qFormat/>
    <w:rsid w:val="003D3BB8"/>
    <w:pPr>
      <w:keepNext/>
      <w:keepLines/>
      <w:spacing w:before="360"/>
      <w:outlineLvl w:val="1"/>
    </w:pPr>
    <w:rPr>
      <w:rFonts w:asciiTheme="majorHAnsi" w:eastAsiaTheme="majorEastAsia" w:hAnsiTheme="majorHAnsi" w:cs="Times New Roman (Headings CS)"/>
      <w:color w:val="1F1545" w:themeColor="text1"/>
      <w:sz w:val="28"/>
      <w:szCs w:val="28"/>
    </w:rPr>
  </w:style>
  <w:style w:type="character" w:customStyle="1" w:styleId="Heading2Char1">
    <w:name w:val="Heading 2 Char_1"/>
    <w:basedOn w:val="DefaultParagraphFont"/>
    <w:link w:val="Heading21"/>
    <w:uiPriority w:val="9"/>
    <w:rsid w:val="003D3BB8"/>
    <w:rPr>
      <w:rFonts w:asciiTheme="majorHAnsi" w:eastAsiaTheme="majorEastAsia" w:hAnsiTheme="majorHAnsi" w:cs="Times New Roman (Headings CS)"/>
      <w:color w:val="1F1545" w:themeColor="text1"/>
      <w:sz w:val="28"/>
      <w:szCs w:val="28"/>
      <w:lang w:val="en-AU"/>
    </w:rPr>
  </w:style>
  <w:style w:type="paragraph" w:customStyle="1" w:styleId="Heading31">
    <w:name w:val="Heading 3_1"/>
    <w:basedOn w:val="Normal"/>
    <w:next w:val="Normal"/>
    <w:link w:val="Heading3Char1"/>
    <w:uiPriority w:val="9"/>
    <w:unhideWhenUsed/>
    <w:qFormat/>
    <w:rsid w:val="003D3BB8"/>
    <w:pPr>
      <w:keepNext/>
      <w:keepLines/>
      <w:spacing w:before="360"/>
      <w:outlineLvl w:val="2"/>
    </w:pPr>
    <w:rPr>
      <w:rFonts w:asciiTheme="majorHAnsi" w:eastAsiaTheme="majorEastAsia" w:hAnsiTheme="majorHAnsi" w:cstheme="majorBidi"/>
      <w:bCs/>
      <w:color w:val="1F1545" w:themeColor="text1"/>
      <w:sz w:val="24"/>
    </w:rPr>
  </w:style>
  <w:style w:type="character" w:customStyle="1" w:styleId="Heading3Char1">
    <w:name w:val="Heading 3 Char_1"/>
    <w:basedOn w:val="DefaultParagraphFont"/>
    <w:link w:val="Heading31"/>
    <w:uiPriority w:val="9"/>
    <w:rsid w:val="003D3BB8"/>
    <w:rPr>
      <w:rFonts w:asciiTheme="majorHAnsi" w:eastAsiaTheme="majorEastAsia" w:hAnsiTheme="majorHAnsi" w:cstheme="majorBidi"/>
      <w:bCs/>
      <w:color w:val="1F1545" w:themeColor="text1"/>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image" Target="media/image5.png" /><Relationship Id="rId16" Type="http://schemas.openxmlformats.org/officeDocument/2006/relationships/image" Target="media/image6.png" /><Relationship Id="rId17" Type="http://schemas.openxmlformats.org/officeDocument/2006/relationships/image" Target="media/image7.png" /><Relationship Id="rId18" Type="http://schemas.openxmlformats.org/officeDocument/2006/relationships/image" Target="media/image8.png" /><Relationship Id="rId19" Type="http://schemas.openxmlformats.org/officeDocument/2006/relationships/image" Target="media/image9.png" /><Relationship Id="rId2" Type="http://schemas.openxmlformats.org/officeDocument/2006/relationships/webSettings" Target="webSettings.xml" /><Relationship Id="rId20" Type="http://schemas.openxmlformats.org/officeDocument/2006/relationships/image" Target="media/image10.png" /><Relationship Id="rId21" Type="http://schemas.openxmlformats.org/officeDocument/2006/relationships/image" Target="media/image11.png" /><Relationship Id="rId22" Type="http://schemas.openxmlformats.org/officeDocument/2006/relationships/image" Target="media/image12.png" /><Relationship Id="rId23" Type="http://schemas.openxmlformats.org/officeDocument/2006/relationships/image" Target="media/image13.png" /><Relationship Id="rId24" Type="http://schemas.openxmlformats.org/officeDocument/2006/relationships/image" Target="media/image14.png" /><Relationship Id="rId25" Type="http://schemas.openxmlformats.org/officeDocument/2006/relationships/image" Target="media/image15.png" /><Relationship Id="rId26" Type="http://schemas.openxmlformats.org/officeDocument/2006/relationships/image" Target="media/image16.png" /><Relationship Id="rId27" Type="http://schemas.openxmlformats.org/officeDocument/2006/relationships/image" Target="media/image17.png" /><Relationship Id="rId28" Type="http://schemas.openxmlformats.org/officeDocument/2006/relationships/image" Target="media/image18.png" /><Relationship Id="rId29" Type="http://schemas.openxmlformats.org/officeDocument/2006/relationships/image" Target="media/image19.png" /><Relationship Id="rId3" Type="http://schemas.openxmlformats.org/officeDocument/2006/relationships/fontTable" Target="fontTable.xml" /><Relationship Id="rId30" Type="http://schemas.openxmlformats.org/officeDocument/2006/relationships/image" Target="media/image20.png" /><Relationship Id="rId31" Type="http://schemas.openxmlformats.org/officeDocument/2006/relationships/image" Target="media/image21.png" /><Relationship Id="rId32" Type="http://schemas.openxmlformats.org/officeDocument/2006/relationships/image" Target="media/image22.png" /><Relationship Id="rId33" Type="http://schemas.openxmlformats.org/officeDocument/2006/relationships/image" Target="media/image23.png" /><Relationship Id="rId34" Type="http://schemas.openxmlformats.org/officeDocument/2006/relationships/image" Target="media/image24.png" /><Relationship Id="rId35" Type="http://schemas.openxmlformats.org/officeDocument/2006/relationships/image" Target="media/image25.png" /><Relationship Id="rId36" Type="http://schemas.openxmlformats.org/officeDocument/2006/relationships/image" Target="media/image26.png" /><Relationship Id="rId37" Type="http://schemas.openxmlformats.org/officeDocument/2006/relationships/image" Target="media/image27.png" /><Relationship Id="rId38" Type="http://schemas.openxmlformats.org/officeDocument/2006/relationships/image" Target="media/image28.png" /><Relationship Id="rId39" Type="http://schemas.openxmlformats.org/officeDocument/2006/relationships/image" Target="media/image29.png" /><Relationship Id="rId4" Type="http://schemas.openxmlformats.org/officeDocument/2006/relationships/customXml" Target="../customXml/item1.xml" /><Relationship Id="rId40" Type="http://schemas.openxmlformats.org/officeDocument/2006/relationships/image" Target="media/image30.png" /><Relationship Id="rId41" Type="http://schemas.openxmlformats.org/officeDocument/2006/relationships/image" Target="media/image31.png" /><Relationship Id="rId42" Type="http://schemas.openxmlformats.org/officeDocument/2006/relationships/image" Target="media/image32.png" /><Relationship Id="rId43" Type="http://schemas.openxmlformats.org/officeDocument/2006/relationships/image" Target="media/image33.png" /><Relationship Id="rId44" Type="http://schemas.openxmlformats.org/officeDocument/2006/relationships/image" Target="media/image34.png" /><Relationship Id="rId45" Type="http://schemas.openxmlformats.org/officeDocument/2006/relationships/image" Target="media/image35.png" /><Relationship Id="rId46" Type="http://schemas.openxmlformats.org/officeDocument/2006/relationships/footer" Target="footer4.xml" /><Relationship Id="rId47" Type="http://schemas.openxmlformats.org/officeDocument/2006/relationships/theme" Target="theme/theme1.xml" /><Relationship Id="rId48" Type="http://schemas.openxmlformats.org/officeDocument/2006/relationships/numbering" Target="numbering.xml" /><Relationship Id="rId49" Type="http://schemas.openxmlformats.org/officeDocument/2006/relationships/styles" Target="styles.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eader" Target="header1.xml" /></Relationships>
</file>

<file path=word/_rels/footer2.xml.rels>&#65279;<?xml version="1.0" encoding="utf-8" standalone="yes"?><Relationships xmlns="http://schemas.openxmlformats.org/package/2006/relationships"><Relationship Id="rId1" Type="http://schemas.openxmlformats.org/officeDocument/2006/relationships/image" Target="media/image4.pn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2024 Both Sectors Theme">
  <a:themeElements>
    <a:clrScheme name="DE BOTH SECTORS COLOURS 2024">
      <a:dk1>
        <a:srgbClr val="1F1646"/>
      </a:dk1>
      <a:lt1>
        <a:srgbClr val="FFFFFF"/>
      </a:lt1>
      <a:dk2>
        <a:srgbClr val="B4DFD4"/>
      </a:dk2>
      <a:lt2>
        <a:srgbClr val="FFFFFF"/>
      </a:lt2>
      <a:accent1>
        <a:srgbClr val="1F1545"/>
      </a:accent1>
      <a:accent2>
        <a:srgbClr val="B6E9EA"/>
      </a:accent2>
      <a:accent3>
        <a:srgbClr val="84179D"/>
      </a:accent3>
      <a:accent4>
        <a:srgbClr val="01B03F"/>
      </a:accent4>
      <a:accent5>
        <a:srgbClr val="D00131"/>
      </a:accent5>
      <a:accent6>
        <a:srgbClr val="88DBDF"/>
      </a:accent6>
      <a:hlink>
        <a:srgbClr val="201546"/>
      </a:hlink>
      <a:folHlink>
        <a:srgbClr val="201546"/>
      </a:folHlink>
    </a:clrScheme>
    <a:fontScheme name="Red Hat Displa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2024 Both Sectors Theme" id="{31B2B066-3607-E44E-A930-BF3C7537209A}" vid="{BEB4507B-C340-784E-95B4-CE8B936FB0F8}"/>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426cb8-9245-4716-8b42-991f5d301053">
      <Terms xmlns="http://schemas.microsoft.com/office/infopath/2007/PartnerControls"/>
    </lcf76f155ced4ddcb4097134ff3c332f>
    <TaxCatchAll xmlns="37a2b200-f654-4ad0-9a63-c032a64fd972" xsi:nil="true"/>
    <BrandRefreshActivity xmlns="b5426cb8-9245-4716-8b42-991f5d301053">October 2024</BrandRefreshActivit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1D4BEE45E56445A345776DEB70A286" ma:contentTypeVersion="12" ma:contentTypeDescription="Create a new document." ma:contentTypeScope="" ma:versionID="118eff11c7bde36f89214161fea4a222">
  <xsd:schema xmlns:xsd="http://www.w3.org/2001/XMLSchema" xmlns:xs="http://www.w3.org/2001/XMLSchema" xmlns:p="http://schemas.microsoft.com/office/2006/metadata/properties" xmlns:ns2="b5426cb8-9245-4716-8b42-991f5d301053" xmlns:ns3="37a2b200-f654-4ad0-9a63-c032a64fd972" targetNamespace="http://schemas.microsoft.com/office/2006/metadata/properties" ma:root="true" ma:fieldsID="c4b9a9c009fe635c03b6d44923d0b905" ns2:_="" ns3:_="">
    <xsd:import namespace="b5426cb8-9245-4716-8b42-991f5d301053"/>
    <xsd:import namespace="37a2b200-f654-4ad0-9a63-c032a64fd97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SearchProperties" minOccurs="0"/>
                <xsd:element ref="ns2:BrandRefresh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26cb8-9245-4716-8b42-991f5d3010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BrandRefreshActivity" ma:index="19" nillable="true" ma:displayName="Brand Refresh Activity" ma:format="Dropdown" ma:internalName="BrandRefreshActivity">
      <xsd:simpleType>
        <xsd:restriction base="dms:Choice">
          <xsd:enumeration value="October 2024"/>
          <xsd:enumeration value="Archived Template"/>
          <xsd:enumeration value="N/A - Not a template"/>
          <xsd:enumeration value="To archive: October 2024"/>
        </xsd:restriction>
      </xsd:simpleType>
    </xsd:element>
  </xsd:schema>
  <xsd:schema xmlns:xsd="http://www.w3.org/2001/XMLSchema" xmlns:xs="http://www.w3.org/2001/XMLSchema" xmlns:dms="http://schemas.microsoft.com/office/2006/documentManagement/types" xmlns:pc="http://schemas.microsoft.com/office/infopath/2007/PartnerControls" targetNamespace="37a2b200-f654-4ad0-9a63-c032a64fd97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db3a3e0-64de-4e6e-98ae-3a7dc50fd37b}" ma:internalName="TaxCatchAll" ma:showField="CatchAllData" ma:web="7c3a2705-3e7d-4834-8828-fc3bdf7c8a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9F1DF-A368-46E9-ACB0-3D14C09FC333}">
  <ds:schemaRefs>
    <ds:schemaRef ds:uri="http://schemas.microsoft.com/office/2006/metadata/properties"/>
    <ds:schemaRef ds:uri="http://schemas.microsoft.com/office/infopath/2007/PartnerControls"/>
    <ds:schemaRef ds:uri="b5426cb8-9245-4716-8b42-991f5d301053"/>
    <ds:schemaRef ds:uri="37a2b200-f654-4ad0-9a63-c032a64fd972"/>
  </ds:schemaRefs>
</ds:datastoreItem>
</file>

<file path=customXml/itemProps2.xml><?xml version="1.0" encoding="utf-8"?>
<ds:datastoreItem xmlns:ds="http://schemas.openxmlformats.org/officeDocument/2006/customXml" ds:itemID="{1B5B590E-8181-484F-8E8B-020AF18D28E9}">
  <ds:schemaRefs>
    <ds:schemaRef ds:uri="http://schemas.microsoft.com/sharepoint/v3/contenttype/forms"/>
  </ds:schemaRefs>
</ds:datastoreItem>
</file>

<file path=customXml/itemProps3.xml><?xml version="1.0" encoding="utf-8"?>
<ds:datastoreItem xmlns:ds="http://schemas.openxmlformats.org/officeDocument/2006/customXml" ds:itemID="{0841D4F8-37F1-4DDD-8002-C4F9F46FDF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26cb8-9245-4716-8b42-991f5d301053"/>
    <ds:schemaRef ds:uri="37a2b200-f654-4ad0-9a63-c032a64fd9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D24950-FAE2-AB43-AAA6-6FDE866D0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1070</TotalTime>
  <Pages>3</Pages>
  <Words>68</Words>
  <Characters>393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Daga Mikolaj</dc:creator>
  <cp:lastModifiedBy>Reshma Karunakaran</cp:lastModifiedBy>
  <cp:revision>39</cp:revision>
  <dcterms:created xsi:type="dcterms:W3CDTF">2024-12-23T23:00:00Z</dcterms:created>
  <dcterms:modified xsi:type="dcterms:W3CDTF">2025-05-20T23:59:00Z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#000000,12,Calibri</vt:lpwstr>
  </property>
  <property fmtid="{D5CDD505-2E9C-101B-9397-08002B2CF9AE}" pid="3" name="ClassificationContentMarkingHeaderShapeIds">
    <vt:lpwstr>5</vt:lpwstr>
  </property>
  <property fmtid="{D5CDD505-2E9C-101B-9397-08002B2CF9AE}" pid="4" name="ClassificationContentMarkingHeaderText">
    <vt:lpwstr>Official Sensitive</vt:lpwstr>
  </property>
  <property fmtid="{D5CDD505-2E9C-101B-9397-08002B2CF9AE}" pid="5" name="ContentTypeId">
    <vt:lpwstr>0x0101008A1D4BEE45E56445A345776DEB70A286</vt:lpwstr>
  </property>
  <property fmtid="{D5CDD505-2E9C-101B-9397-08002B2CF9AE}" pid="6" name="MediaServiceImageTags">
    <vt:lpwstr/>
  </property>
</Properties>
</file>